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A765" w14:textId="5BBD2DFA" w:rsidR="00FF0D0C" w:rsidRDefault="00FF0D0C" w:rsidP="00FF0D0C">
      <w:pPr>
        <w:tabs>
          <w:tab w:val="left" w:pos="6237"/>
        </w:tabs>
        <w:spacing w:after="0" w:line="240" w:lineRule="auto"/>
        <w:ind w:right="6" w:hanging="11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</w:t>
      </w:r>
      <w:r w:rsidR="00126D97" w:rsidRPr="00FF0D0C">
        <w:rPr>
          <w:bCs/>
          <w:sz w:val="20"/>
        </w:rPr>
        <w:t>Załącznik nr 5</w:t>
      </w:r>
    </w:p>
    <w:p w14:paraId="0382790A" w14:textId="77777777" w:rsidR="00FF0D0C" w:rsidRDefault="00FF0D0C" w:rsidP="00FF0D0C">
      <w:pPr>
        <w:spacing w:after="0" w:line="240" w:lineRule="auto"/>
        <w:ind w:right="6" w:hanging="11"/>
        <w:jc w:val="center"/>
        <w:rPr>
          <w:sz w:val="20"/>
        </w:rPr>
      </w:pPr>
      <w:r>
        <w:rPr>
          <w:bCs/>
          <w:sz w:val="20"/>
        </w:rPr>
        <w:t xml:space="preserve">                                                                                  </w:t>
      </w:r>
      <w:r w:rsidR="00126D97">
        <w:rPr>
          <w:sz w:val="20"/>
        </w:rPr>
        <w:t>do „Regulaminu świadczenia usług</w:t>
      </w:r>
    </w:p>
    <w:p w14:paraId="4C21E5EF" w14:textId="401F6B55" w:rsidR="00FF0D0C" w:rsidRDefault="00FF0D0C" w:rsidP="00FF0D0C">
      <w:pPr>
        <w:spacing w:after="0" w:line="240" w:lineRule="auto"/>
        <w:ind w:right="6" w:hanging="11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="0093077B">
        <w:rPr>
          <w:sz w:val="20"/>
        </w:rPr>
        <w:t xml:space="preserve">w </w:t>
      </w:r>
      <w:r>
        <w:rPr>
          <w:sz w:val="20"/>
        </w:rPr>
        <w:t xml:space="preserve">zakresie </w:t>
      </w:r>
      <w:r w:rsidR="00126D97">
        <w:rPr>
          <w:sz w:val="20"/>
        </w:rPr>
        <w:t>prowadzenia rachunków</w:t>
      </w:r>
      <w:r w:rsidR="0093077B">
        <w:rPr>
          <w:sz w:val="20"/>
        </w:rPr>
        <w:t xml:space="preserve"> </w:t>
      </w:r>
    </w:p>
    <w:p w14:paraId="2BACF5AE" w14:textId="1C0C2BEE" w:rsidR="00664A64" w:rsidRDefault="00FF0D0C" w:rsidP="00FF0D0C">
      <w:pPr>
        <w:spacing w:after="0" w:line="240" w:lineRule="auto"/>
        <w:ind w:right="6" w:hanging="11"/>
        <w:jc w:val="center"/>
      </w:pPr>
      <w:r>
        <w:rPr>
          <w:sz w:val="20"/>
        </w:rPr>
        <w:t xml:space="preserve">                                                                                              </w:t>
      </w:r>
      <w:r w:rsidR="0093077B">
        <w:rPr>
          <w:sz w:val="20"/>
        </w:rPr>
        <w:t>bankowych dla klientów</w:t>
      </w:r>
      <w:r w:rsidR="00126D97">
        <w:rPr>
          <w:sz w:val="20"/>
        </w:rPr>
        <w:t xml:space="preserve"> indywidualnych” </w:t>
      </w:r>
    </w:p>
    <w:p w14:paraId="04A12AD3" w14:textId="0F066C3E" w:rsidR="00664A64" w:rsidRDefault="00126D97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5F485F8" w14:textId="77777777" w:rsidR="00664A64" w:rsidRDefault="00126D97">
      <w:pPr>
        <w:spacing w:after="1" w:line="259" w:lineRule="auto"/>
        <w:ind w:left="51" w:right="3"/>
        <w:jc w:val="center"/>
      </w:pPr>
      <w:r>
        <w:rPr>
          <w:b/>
        </w:rPr>
        <w:t>Zasady świadczenia usługi Moje Dokumenty SGB</w:t>
      </w:r>
      <w:r>
        <w:rPr>
          <w:b/>
          <w:vertAlign w:val="superscript"/>
        </w:rPr>
        <w:footnoteReference w:id="1"/>
      </w:r>
      <w:r>
        <w:rPr>
          <w:b/>
        </w:rPr>
        <w:t xml:space="preserve">  </w:t>
      </w:r>
    </w:p>
    <w:p w14:paraId="00C4401B" w14:textId="77777777" w:rsidR="00664A64" w:rsidRDefault="00126D97">
      <w:pPr>
        <w:spacing w:after="26" w:line="259" w:lineRule="auto"/>
        <w:ind w:left="101" w:right="0" w:firstLine="0"/>
        <w:jc w:val="center"/>
      </w:pPr>
      <w:r>
        <w:rPr>
          <w:b/>
        </w:rPr>
        <w:t xml:space="preserve"> </w:t>
      </w:r>
    </w:p>
    <w:p w14:paraId="6D5B2152" w14:textId="77777777" w:rsidR="00993981" w:rsidRDefault="00126D97">
      <w:pPr>
        <w:pStyle w:val="Nagwek1"/>
        <w:spacing w:after="137"/>
        <w:ind w:left="51" w:right="3"/>
      </w:pPr>
      <w:r>
        <w:t>Postanowienia ogólne i definicje</w:t>
      </w:r>
    </w:p>
    <w:p w14:paraId="03DC0A74" w14:textId="59BE1C93" w:rsidR="00664A64" w:rsidRDefault="00126D97">
      <w:pPr>
        <w:pStyle w:val="Nagwek1"/>
        <w:spacing w:after="137"/>
        <w:ind w:left="51" w:right="3"/>
      </w:pPr>
      <w:r>
        <w:rPr>
          <w:b w:val="0"/>
        </w:rPr>
        <w:t xml:space="preserve"> </w:t>
      </w:r>
      <w:r>
        <w:t xml:space="preserve">§ 1 </w:t>
      </w:r>
    </w:p>
    <w:p w14:paraId="2B89B1ED" w14:textId="65D5DDDF" w:rsidR="00664A64" w:rsidRDefault="00126D97">
      <w:pPr>
        <w:numPr>
          <w:ilvl w:val="0"/>
          <w:numId w:val="1"/>
        </w:numPr>
        <w:ind w:right="659" w:hanging="286"/>
      </w:pPr>
      <w:r>
        <w:t xml:space="preserve">Niniejszy dokument określa zasady świadczenia przez </w:t>
      </w:r>
      <w:r w:rsidR="00993981">
        <w:t>b</w:t>
      </w:r>
      <w:r>
        <w:t xml:space="preserve">ank usługi Moje Dokumenty SGB, umożliwiającej klientom dostęp do przekazanych w związku z realizowanymi przez </w:t>
      </w:r>
      <w:r w:rsidR="00993981">
        <w:t>b</w:t>
      </w:r>
      <w:r>
        <w:t xml:space="preserve">ank umowami: regulacji, informacje o ich zmianach oraz inne dokumenty wskazane </w:t>
      </w:r>
      <w:r w:rsidR="00EC46F2">
        <w:br/>
      </w:r>
      <w:r>
        <w:t xml:space="preserve">w regulaminie. </w:t>
      </w:r>
    </w:p>
    <w:p w14:paraId="5C7B8F65" w14:textId="6A40F9DA" w:rsidR="00664A64" w:rsidRDefault="00126D97">
      <w:pPr>
        <w:numPr>
          <w:ilvl w:val="0"/>
          <w:numId w:val="1"/>
        </w:numPr>
        <w:spacing w:after="1"/>
        <w:ind w:right="659" w:hanging="286"/>
      </w:pPr>
      <w:r>
        <w:t xml:space="preserve">Zasady korzystania z usługi, o której mowa w ust. 1 są opisane w Przewodniku dla użytkownika – Moje Dokumenty SGB, zwanej dalej „instrukcją”; instrukcja jest dostępna na stronie internetowej </w:t>
      </w:r>
      <w:r w:rsidR="00993981">
        <w:t>b</w:t>
      </w:r>
      <w:r>
        <w:t xml:space="preserve">anku. </w:t>
      </w:r>
    </w:p>
    <w:p w14:paraId="0B38FC62" w14:textId="77777777" w:rsidR="00664A64" w:rsidRDefault="00126D9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119366" w14:textId="1AFB2AEF" w:rsidR="00993981" w:rsidRPr="006F37BB" w:rsidRDefault="00126D97" w:rsidP="006F37BB">
      <w:pPr>
        <w:spacing w:after="18" w:line="259" w:lineRule="auto"/>
        <w:ind w:left="283" w:right="0" w:firstLine="0"/>
        <w:jc w:val="center"/>
        <w:rPr>
          <w:b/>
          <w:bCs/>
        </w:rPr>
      </w:pPr>
      <w:r w:rsidRPr="006F37BB">
        <w:rPr>
          <w:b/>
          <w:bCs/>
        </w:rPr>
        <w:t>Zasady udostępnienia dokumentów w usłudze Moje Dokumenty SGB</w:t>
      </w:r>
    </w:p>
    <w:p w14:paraId="6D0566D6" w14:textId="5C1A3289" w:rsidR="00664A64" w:rsidRDefault="00126D97">
      <w:pPr>
        <w:pStyle w:val="Nagwek1"/>
        <w:spacing w:after="26"/>
        <w:ind w:left="51"/>
      </w:pPr>
      <w:r>
        <w:t xml:space="preserve">§ 2 </w:t>
      </w:r>
    </w:p>
    <w:p w14:paraId="6B4193CB" w14:textId="421677C7" w:rsidR="00664A64" w:rsidRDefault="00126D97" w:rsidP="00105E30">
      <w:pPr>
        <w:numPr>
          <w:ilvl w:val="0"/>
          <w:numId w:val="2"/>
        </w:numPr>
        <w:ind w:right="659" w:hanging="427"/>
      </w:pPr>
      <w:r>
        <w:t>Bank może udostępniać usługę</w:t>
      </w:r>
      <w:r w:rsidR="00AF7752">
        <w:t>:</w:t>
      </w:r>
    </w:p>
    <w:p w14:paraId="35CE1BE1" w14:textId="02B71224" w:rsidR="00AF7752" w:rsidRDefault="00AF7752" w:rsidP="00AF7752">
      <w:pPr>
        <w:ind w:left="1123" w:right="659" w:firstLine="0"/>
      </w:pPr>
      <w:r>
        <w:t xml:space="preserve">1) poprzez sieć </w:t>
      </w:r>
      <w:proofErr w:type="spellStart"/>
      <w:r>
        <w:t>internet</w:t>
      </w:r>
      <w:proofErr w:type="spellEnd"/>
      <w:r>
        <w:t xml:space="preserve"> – dla klientów nie posiadających dostępu do bankowości internetowej oraz po wygaśnięciu umowy;</w:t>
      </w:r>
    </w:p>
    <w:p w14:paraId="3D1518E6" w14:textId="7D5E041C" w:rsidR="00AF7752" w:rsidRDefault="00AF7752" w:rsidP="004E601A">
      <w:pPr>
        <w:ind w:left="1123" w:right="659" w:firstLine="0"/>
      </w:pPr>
      <w:r>
        <w:t>2) za pośrednictwem bankowości internetowej</w:t>
      </w:r>
      <w:r>
        <w:rPr>
          <w:rStyle w:val="Odwoanieprzypisudolnego"/>
        </w:rPr>
        <w:footnoteReference w:id="2"/>
      </w:r>
    </w:p>
    <w:p w14:paraId="4DCFB341" w14:textId="77777777" w:rsidR="00664A64" w:rsidRDefault="00126D97">
      <w:pPr>
        <w:numPr>
          <w:ilvl w:val="0"/>
          <w:numId w:val="2"/>
        </w:numPr>
        <w:ind w:right="659" w:hanging="427"/>
      </w:pPr>
      <w:r>
        <w:t xml:space="preserve">Aby korzystać z usługi Moje dokumenty SGB klient powinien złożyć oświadczenie: </w:t>
      </w:r>
    </w:p>
    <w:p w14:paraId="341C9CA8" w14:textId="7E859139" w:rsidR="00664A64" w:rsidRDefault="00126D97">
      <w:pPr>
        <w:numPr>
          <w:ilvl w:val="1"/>
          <w:numId w:val="2"/>
        </w:numPr>
        <w:ind w:right="659" w:hanging="281"/>
      </w:pPr>
      <w:r>
        <w:t xml:space="preserve">w placówce </w:t>
      </w:r>
      <w:r w:rsidR="00105E30">
        <w:t>b</w:t>
      </w:r>
      <w:r>
        <w:t xml:space="preserve">anku, lub   </w:t>
      </w:r>
    </w:p>
    <w:p w14:paraId="48B29CEB" w14:textId="759B9B07" w:rsidR="00664A64" w:rsidRDefault="00126D97">
      <w:pPr>
        <w:numPr>
          <w:ilvl w:val="1"/>
          <w:numId w:val="2"/>
        </w:numPr>
        <w:ind w:right="659" w:hanging="281"/>
      </w:pPr>
      <w:r>
        <w:t>w bankowości</w:t>
      </w:r>
      <w:r w:rsidR="00AF7752">
        <w:t xml:space="preserve"> internetowej lub</w:t>
      </w:r>
      <w:r>
        <w:t xml:space="preserve"> mobilnej jeśli </w:t>
      </w:r>
      <w:r w:rsidR="00105E30">
        <w:t>b</w:t>
      </w:r>
      <w:r>
        <w:t xml:space="preserve">ank udostępni taki wniosek. </w:t>
      </w:r>
    </w:p>
    <w:p w14:paraId="073AAC94" w14:textId="77777777" w:rsidR="00664A64" w:rsidRDefault="00126D97">
      <w:pPr>
        <w:numPr>
          <w:ilvl w:val="0"/>
          <w:numId w:val="2"/>
        </w:numPr>
        <w:spacing w:after="254"/>
        <w:ind w:right="659" w:hanging="427"/>
      </w:pPr>
      <w:r>
        <w:t xml:space="preserve">Bank zapewnia dostęp do usługi w trakcie trwania umowy oraz po wygaśnięciu umowy przez okres zgodny z przepisami obowiązującego prawa; klienci którzy posiadali dostęp do usługi przez bankowość internetową po wygaśnięciu umowy uzyskują dostęp w sposób opisany w Przewodniku dla klienta – Moje Dokumenty SGB. </w:t>
      </w:r>
    </w:p>
    <w:p w14:paraId="70FB6EFF" w14:textId="77777777" w:rsidR="00664A64" w:rsidRDefault="00126D97">
      <w:pPr>
        <w:spacing w:after="241" w:line="259" w:lineRule="auto"/>
        <w:ind w:left="2638" w:right="0"/>
        <w:jc w:val="left"/>
      </w:pPr>
      <w:r>
        <w:rPr>
          <w:b/>
        </w:rPr>
        <w:t xml:space="preserve">Zasady działania usługi Moje Dokumenty SGB  </w:t>
      </w:r>
    </w:p>
    <w:p w14:paraId="78DE268B" w14:textId="77777777" w:rsidR="00664A64" w:rsidRDefault="00126D97">
      <w:pPr>
        <w:pStyle w:val="Nagwek1"/>
        <w:spacing w:after="118"/>
        <w:ind w:left="51" w:right="2"/>
      </w:pPr>
      <w:r>
        <w:t xml:space="preserve">§ 3 </w:t>
      </w:r>
    </w:p>
    <w:p w14:paraId="7D7990B6" w14:textId="77777777" w:rsidR="00664A64" w:rsidRDefault="00126D97">
      <w:pPr>
        <w:numPr>
          <w:ilvl w:val="0"/>
          <w:numId w:val="3"/>
        </w:numPr>
        <w:ind w:right="659" w:hanging="427"/>
      </w:pPr>
      <w:r>
        <w:t xml:space="preserve">Bank przekazuje klientom dokumenty wskazane w §1 ust. 1 z wykorzystaniem usługi  Moje dokumenty SGB, jeśli klient wskaże taką formę dostarczania dokumentów powiadamiając klienta w formie wskazanej w oświadczeniu, o którym mowa w §2 ust 2 wysyłając: </w:t>
      </w:r>
    </w:p>
    <w:p w14:paraId="45A46064" w14:textId="77777777" w:rsidR="00105E30" w:rsidRDefault="00126D97">
      <w:pPr>
        <w:ind w:left="1148" w:right="6715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wiadomość SMS, lub </w:t>
      </w:r>
    </w:p>
    <w:p w14:paraId="3BB19DD0" w14:textId="652132BD" w:rsidR="00664A64" w:rsidRDefault="00126D97">
      <w:pPr>
        <w:ind w:left="1148" w:right="6715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e-mail. </w:t>
      </w:r>
    </w:p>
    <w:p w14:paraId="28000C9B" w14:textId="3D8790F1" w:rsidR="00664A64" w:rsidRDefault="00126D97">
      <w:pPr>
        <w:numPr>
          <w:ilvl w:val="0"/>
          <w:numId w:val="3"/>
        </w:numPr>
        <w:spacing w:after="250"/>
        <w:ind w:right="659" w:hanging="427"/>
      </w:pPr>
      <w:r>
        <w:t xml:space="preserve">Dokumenty, które </w:t>
      </w:r>
      <w:r w:rsidR="00105E30">
        <w:t>b</w:t>
      </w:r>
      <w:r>
        <w:t xml:space="preserve">ank udostępnia, można zapisywać i przechowywać na własnym komputerze lub innym nośniku.   </w:t>
      </w:r>
    </w:p>
    <w:p w14:paraId="24F05A32" w14:textId="6FD19AE4" w:rsidR="00664A64" w:rsidRDefault="00126D97">
      <w:pPr>
        <w:spacing w:after="96" w:line="259" w:lineRule="auto"/>
        <w:ind w:left="2754" w:right="0"/>
        <w:jc w:val="left"/>
      </w:pPr>
      <w:r>
        <w:rPr>
          <w:b/>
        </w:rPr>
        <w:t xml:space="preserve">Logowanie i korzystanie z usługi Moje Dokumenty SGB </w:t>
      </w:r>
    </w:p>
    <w:p w14:paraId="0D2B76C0" w14:textId="7502A4F7" w:rsidR="00664A64" w:rsidRDefault="00126D97" w:rsidP="006F37BB">
      <w:pPr>
        <w:spacing w:after="9" w:line="259" w:lineRule="auto"/>
        <w:ind w:left="101" w:right="0" w:firstLine="0"/>
        <w:jc w:val="center"/>
      </w:pPr>
      <w:r>
        <w:rPr>
          <w:b/>
        </w:rPr>
        <w:t xml:space="preserve"> </w:t>
      </w:r>
      <w:r>
        <w:t xml:space="preserve">§ 4 </w:t>
      </w:r>
    </w:p>
    <w:p w14:paraId="0F537E6E" w14:textId="77777777" w:rsidR="00B92CC8" w:rsidRDefault="00126D97" w:rsidP="00D03326">
      <w:pPr>
        <w:spacing w:after="0" w:line="240" w:lineRule="auto"/>
        <w:ind w:left="706" w:right="658"/>
      </w:pPr>
      <w:r>
        <w:t>Zasady bezpiecznego logowania i korzystania z usługi wskazane są</w:t>
      </w:r>
      <w:r w:rsidR="00B92CC8">
        <w:t>:</w:t>
      </w:r>
    </w:p>
    <w:p w14:paraId="25191C99" w14:textId="064A47D2" w:rsidR="00664A64" w:rsidRDefault="00B92CC8" w:rsidP="00D03326">
      <w:pPr>
        <w:pStyle w:val="Akapitzlist"/>
        <w:numPr>
          <w:ilvl w:val="0"/>
          <w:numId w:val="6"/>
        </w:numPr>
        <w:spacing w:after="0" w:line="240" w:lineRule="auto"/>
        <w:ind w:left="1054" w:right="658" w:hanging="357"/>
      </w:pPr>
      <w:r>
        <w:t xml:space="preserve">dla klientów </w:t>
      </w:r>
      <w:r w:rsidR="003A3A13">
        <w:t xml:space="preserve">nie </w:t>
      </w:r>
      <w:r>
        <w:t xml:space="preserve">korzystających z bankowości internetowej oraz po wygaśnięciu umowy - </w:t>
      </w:r>
      <w:r w:rsidR="00EC46F2">
        <w:br/>
      </w:r>
      <w:r w:rsidR="00402BAC">
        <w:t>w</w:t>
      </w:r>
      <w:r w:rsidR="00105E30">
        <w:t xml:space="preserve"> </w:t>
      </w:r>
      <w:r w:rsidR="00126D97" w:rsidRPr="00DD45C6">
        <w:t>Przewodniku dla klienta – Moje Dokumenty SGB</w:t>
      </w:r>
      <w:r>
        <w:t>;</w:t>
      </w:r>
    </w:p>
    <w:p w14:paraId="4A831CF5" w14:textId="0A5A84FE" w:rsidR="00B92CC8" w:rsidRPr="00DD45C6" w:rsidRDefault="00B92CC8" w:rsidP="004E601A">
      <w:pPr>
        <w:pStyle w:val="Akapitzlist"/>
        <w:numPr>
          <w:ilvl w:val="0"/>
          <w:numId w:val="6"/>
        </w:numPr>
        <w:spacing w:after="0" w:line="240" w:lineRule="auto"/>
        <w:ind w:left="1054" w:right="659" w:hanging="357"/>
      </w:pPr>
      <w:r>
        <w:lastRenderedPageBreak/>
        <w:t>dla klientów</w:t>
      </w:r>
      <w:r w:rsidR="00D03326">
        <w:t xml:space="preserve"> korzystających z bankowości internetowej w Przewodniku dla klienta – Przewodnik po Bankowości internetowej SGB24.</w:t>
      </w:r>
    </w:p>
    <w:p w14:paraId="30654ECB" w14:textId="77777777" w:rsidR="006F37BB" w:rsidRDefault="006F37BB">
      <w:pPr>
        <w:spacing w:after="121" w:line="259" w:lineRule="auto"/>
        <w:ind w:left="2307" w:right="0"/>
        <w:jc w:val="left"/>
        <w:rPr>
          <w:b/>
        </w:rPr>
      </w:pPr>
    </w:p>
    <w:p w14:paraId="3CC4598F" w14:textId="3425FCF0" w:rsidR="00664A64" w:rsidRDefault="00126D97">
      <w:pPr>
        <w:spacing w:after="121" w:line="259" w:lineRule="auto"/>
        <w:ind w:left="2307" w:right="0"/>
        <w:jc w:val="left"/>
      </w:pPr>
      <w:r>
        <w:rPr>
          <w:b/>
        </w:rPr>
        <w:t xml:space="preserve">Blokowanie dostępu do usługi Moje Dokumenty SGB </w:t>
      </w:r>
    </w:p>
    <w:p w14:paraId="53AC9FEF" w14:textId="77777777" w:rsidR="00664A64" w:rsidRDefault="00126D97">
      <w:pPr>
        <w:pStyle w:val="Nagwek1"/>
        <w:spacing w:after="53"/>
        <w:ind w:left="51" w:right="2"/>
      </w:pPr>
      <w:r>
        <w:t>§ 5</w:t>
      </w:r>
      <w:r>
        <w:rPr>
          <w:b w:val="0"/>
        </w:rPr>
        <w:t xml:space="preserve"> </w:t>
      </w:r>
    </w:p>
    <w:p w14:paraId="20807DA0" w14:textId="77777777" w:rsidR="00664A64" w:rsidRDefault="00126D97">
      <w:pPr>
        <w:numPr>
          <w:ilvl w:val="0"/>
          <w:numId w:val="5"/>
        </w:numPr>
        <w:spacing w:after="10"/>
        <w:ind w:right="659" w:hanging="283"/>
      </w:pPr>
      <w:r>
        <w:t xml:space="preserve">Dostęp do usługi Moje Dokumenty SGB może być zablokowany przez: </w:t>
      </w:r>
    </w:p>
    <w:p w14:paraId="5283FA89" w14:textId="38F530A2" w:rsidR="00105E30" w:rsidRDefault="00105E30">
      <w:pPr>
        <w:numPr>
          <w:ilvl w:val="1"/>
          <w:numId w:val="5"/>
        </w:numPr>
        <w:ind w:right="659" w:hanging="425"/>
      </w:pPr>
      <w:r>
        <w:t>b</w:t>
      </w:r>
      <w:r w:rsidR="00126D97">
        <w:t xml:space="preserve">ank, </w:t>
      </w:r>
    </w:p>
    <w:p w14:paraId="7C6028E1" w14:textId="207AE37D" w:rsidR="00664A64" w:rsidRDefault="00126D97">
      <w:pPr>
        <w:numPr>
          <w:ilvl w:val="1"/>
          <w:numId w:val="5"/>
        </w:numPr>
        <w:ind w:right="659" w:hanging="425"/>
      </w:pPr>
      <w:r>
        <w:t xml:space="preserve">Klienta. </w:t>
      </w:r>
    </w:p>
    <w:p w14:paraId="04CAC706" w14:textId="45D4D2D1" w:rsidR="00303CB2" w:rsidRDefault="00303CB2" w:rsidP="00105E30">
      <w:pPr>
        <w:pStyle w:val="Akapitzlist"/>
        <w:numPr>
          <w:ilvl w:val="0"/>
          <w:numId w:val="5"/>
        </w:numPr>
        <w:ind w:right="659" w:hanging="270"/>
      </w:pPr>
      <w:r>
        <w:t>Zablokowanie dostępu następuje w zależności od sposobu korzystania z usług</w:t>
      </w:r>
      <w:r w:rsidR="0093077B">
        <w:t>i</w:t>
      </w:r>
      <w:r>
        <w:t xml:space="preserve"> Moje Dokumenty SGB:</w:t>
      </w:r>
    </w:p>
    <w:p w14:paraId="67F8EB42" w14:textId="2CC2C392" w:rsidR="00664A64" w:rsidRDefault="00303CB2" w:rsidP="00303CB2">
      <w:pPr>
        <w:pStyle w:val="Akapitzlist"/>
        <w:ind w:left="979" w:right="659" w:firstLine="0"/>
      </w:pPr>
      <w:r>
        <w:t xml:space="preserve">1) klient nie posiadający bankowości internetowej blokuje dostęp w placówce banku </w:t>
      </w:r>
      <w:r w:rsidR="00126D97">
        <w:t>lub jeśli podejrzewa, że hasło do logowania do usługi zostało pozyskane przez osoby nieuprawnione, powinien je zmienić w sposób wskazany w Przewodniku dla klienta – Moje Dokumenty SGB</w:t>
      </w:r>
      <w:r>
        <w:t>;</w:t>
      </w:r>
    </w:p>
    <w:p w14:paraId="497B8120" w14:textId="6ED4A32D" w:rsidR="00303CB2" w:rsidRDefault="00303CB2" w:rsidP="004E601A">
      <w:pPr>
        <w:pStyle w:val="Akapitzlist"/>
        <w:ind w:left="979" w:right="659" w:firstLine="0"/>
      </w:pPr>
      <w:r>
        <w:t>2) klient korzystający z bankowości internetowej blokuje dostęp poprzez zablokowanie bankowości internetowej zgodnie z zasadami opisanymi w regulaminie „Zasady udostępniania i funkcjonowania elektronicznych kanałów dostępu”.</w:t>
      </w:r>
    </w:p>
    <w:p w14:paraId="11F8D23E" w14:textId="77777777" w:rsidR="00664A64" w:rsidRDefault="00126D97">
      <w:pPr>
        <w:numPr>
          <w:ilvl w:val="0"/>
          <w:numId w:val="5"/>
        </w:numPr>
        <w:ind w:right="659" w:hanging="283"/>
      </w:pPr>
      <w:r>
        <w:t xml:space="preserve">Bank jest zobowiązany zablokować dostęp do usługi Moje Dokumenty SGB w przypadku: </w:t>
      </w:r>
    </w:p>
    <w:p w14:paraId="11A65F28" w14:textId="77777777" w:rsidR="00664A64" w:rsidRDefault="00126D97">
      <w:pPr>
        <w:numPr>
          <w:ilvl w:val="1"/>
          <w:numId w:val="5"/>
        </w:numPr>
        <w:ind w:right="659" w:hanging="425"/>
      </w:pPr>
      <w:r>
        <w:t xml:space="preserve">złożenia przez klienta dyspozycji zablokowania dostępu do usługi; </w:t>
      </w:r>
    </w:p>
    <w:p w14:paraId="369D31B6" w14:textId="77777777" w:rsidR="00664A64" w:rsidRDefault="00126D97">
      <w:pPr>
        <w:numPr>
          <w:ilvl w:val="1"/>
          <w:numId w:val="5"/>
        </w:numPr>
        <w:ind w:right="659" w:hanging="425"/>
      </w:pPr>
      <w:r>
        <w:t xml:space="preserve">kolejnego trzykrotnego wpisania nieprawidłowego hasła stałego lub kodu SMS. </w:t>
      </w:r>
    </w:p>
    <w:p w14:paraId="4788E517" w14:textId="77777777" w:rsidR="00664A64" w:rsidRDefault="00126D97">
      <w:pPr>
        <w:numPr>
          <w:ilvl w:val="0"/>
          <w:numId w:val="5"/>
        </w:numPr>
        <w:ind w:right="659" w:hanging="283"/>
      </w:pPr>
      <w:r>
        <w:t xml:space="preserve">Bank ma prawo częściowo ograniczyć lub zablokować dostęp do usługi Moje Dokumenty SGB w następujących przypadkach: </w:t>
      </w:r>
    </w:p>
    <w:p w14:paraId="69C97241" w14:textId="33070FAE" w:rsidR="00664A64" w:rsidRDefault="00126D97">
      <w:pPr>
        <w:numPr>
          <w:ilvl w:val="1"/>
          <w:numId w:val="5"/>
        </w:numPr>
        <w:ind w:right="659" w:hanging="425"/>
      </w:pPr>
      <w:r>
        <w:t>uzasadnionych przyczyn związanych z bezpieczeństwem dostępu do usługi Moje Dokumenty SGB, w tym w przypadku podejrzenia popełnienia przestępstwa na szkodę użytkownik</w:t>
      </w:r>
      <w:r w:rsidR="006F37BB">
        <w:t>a</w:t>
      </w:r>
      <w:r w:rsidR="00105E30">
        <w:t>;</w:t>
      </w:r>
      <w:r>
        <w:t xml:space="preserve"> </w:t>
      </w:r>
    </w:p>
    <w:p w14:paraId="70310BB7" w14:textId="77777777" w:rsidR="00664A64" w:rsidRDefault="00126D97">
      <w:pPr>
        <w:numPr>
          <w:ilvl w:val="1"/>
          <w:numId w:val="5"/>
        </w:numPr>
        <w:ind w:right="659" w:hanging="425"/>
      </w:pPr>
      <w:r>
        <w:t xml:space="preserve">uzasadnionego podejrzenia, że użytkownik będzie posługiwał się dostępem w sposób niezgodny z regulaminem; </w:t>
      </w:r>
    </w:p>
    <w:p w14:paraId="5F9080F8" w14:textId="77777777" w:rsidR="004E601A" w:rsidRDefault="00126D97">
      <w:pPr>
        <w:numPr>
          <w:ilvl w:val="1"/>
          <w:numId w:val="5"/>
        </w:numPr>
        <w:ind w:right="659" w:hanging="425"/>
      </w:pPr>
      <w:r>
        <w:t>korzystania przez użytkownika z usługi Moje Dokumenty SGB niezgodnie z zasadami bezpieczeństwa określonymi w Przewodniku dla klienta - Moje Dokumenty SGB lub w sposób zagrażający bezpieczeństwu korzystania z usługi;</w:t>
      </w:r>
    </w:p>
    <w:p w14:paraId="249B5F19" w14:textId="6F02A1DC" w:rsidR="00664A64" w:rsidRDefault="00126D97">
      <w:pPr>
        <w:numPr>
          <w:ilvl w:val="1"/>
          <w:numId w:val="5"/>
        </w:numPr>
        <w:ind w:right="659" w:hanging="425"/>
      </w:pPr>
      <w:r>
        <w:t xml:space="preserve"> </w:t>
      </w:r>
      <w:r w:rsidR="004E601A">
        <w:t>dokonywania czynności konserwacyjnych serwisu internetowego lub innych systemów</w:t>
      </w:r>
      <w:r w:rsidR="004E601A" w:rsidRPr="004E601A">
        <w:t xml:space="preserve"> </w:t>
      </w:r>
      <w:r w:rsidR="004E601A">
        <w:t>teleinformatycznych związanych z wykonywaniem umowy, o czym bank z wyprzedzeniem poinformuje klienta na stronie internetowej banku</w:t>
      </w:r>
      <w:r w:rsidR="002A4D44">
        <w:t>;</w:t>
      </w:r>
    </w:p>
    <w:p w14:paraId="36BAAE84" w14:textId="77777777" w:rsidR="00664A64" w:rsidRDefault="00126D97">
      <w:pPr>
        <w:numPr>
          <w:ilvl w:val="1"/>
          <w:numId w:val="5"/>
        </w:numPr>
        <w:ind w:right="659" w:hanging="425"/>
      </w:pPr>
      <w:r>
        <w:t xml:space="preserve">dokonywania czynności mających na celu usunięcie awarii, usterek lub nieprawidłowości działania w serwisie internetowym lub innych systemach teleinformatycznych związanych z wykonywaniem umowy; </w:t>
      </w:r>
    </w:p>
    <w:p w14:paraId="32C5D5FF" w14:textId="10B7C2DD" w:rsidR="00664A64" w:rsidRDefault="00126D97">
      <w:pPr>
        <w:numPr>
          <w:ilvl w:val="1"/>
          <w:numId w:val="5"/>
        </w:numPr>
        <w:ind w:right="659" w:hanging="425"/>
      </w:pPr>
      <w:r>
        <w:t xml:space="preserve">wymiany stosowanych indywidualnych danych uwierzytelniających, o czym </w:t>
      </w:r>
      <w:r w:rsidR="00105E30">
        <w:t>b</w:t>
      </w:r>
      <w:r>
        <w:t xml:space="preserve">ank  </w:t>
      </w:r>
      <w:r w:rsidR="00EC46F2">
        <w:br/>
      </w:r>
      <w:r>
        <w:t xml:space="preserve">z wyprzedzeniem poinformuje użytkownika pisemnie lub na stronie internetowej </w:t>
      </w:r>
      <w:r w:rsidR="00105E30">
        <w:t>b</w:t>
      </w:r>
      <w:r>
        <w:t xml:space="preserve">anku. </w:t>
      </w:r>
    </w:p>
    <w:p w14:paraId="2B5ADB15" w14:textId="77777777" w:rsidR="00A63928" w:rsidRDefault="00126D97" w:rsidP="00105E30">
      <w:pPr>
        <w:numPr>
          <w:ilvl w:val="0"/>
          <w:numId w:val="5"/>
        </w:numPr>
        <w:ind w:right="659" w:hanging="283"/>
      </w:pPr>
      <w:r>
        <w:t>Odblokowanie dostępu do usługi Moje Dokumenty SGB</w:t>
      </w:r>
      <w:r w:rsidR="00A63928">
        <w:t>:</w:t>
      </w:r>
    </w:p>
    <w:p w14:paraId="6456ECE2" w14:textId="365A8DD8" w:rsidR="00664A64" w:rsidRDefault="00A63928" w:rsidP="00A63928">
      <w:pPr>
        <w:ind w:left="979" w:right="659" w:firstLine="0"/>
      </w:pPr>
      <w:r>
        <w:t>1)</w:t>
      </w:r>
      <w:r w:rsidR="00105E30">
        <w:t xml:space="preserve"> </w:t>
      </w:r>
      <w:r w:rsidR="00126D97">
        <w:t xml:space="preserve"> </w:t>
      </w:r>
      <w:r>
        <w:t xml:space="preserve">klient nie posiadający bankowości internetowej </w:t>
      </w:r>
      <w:r w:rsidR="00126D97">
        <w:t xml:space="preserve">lub po wygaśnięciu umowy </w:t>
      </w:r>
      <w:r w:rsidR="00105E30">
        <w:t xml:space="preserve"> </w:t>
      </w:r>
      <w:r w:rsidR="00126D97">
        <w:t xml:space="preserve">zgodnie </w:t>
      </w:r>
      <w:r w:rsidR="00EC46F2">
        <w:br/>
      </w:r>
      <w:r w:rsidR="00126D97">
        <w:t>z zasadami opisanymi w Przewodniku dla klienta – Moje Dokumenty SGB</w:t>
      </w:r>
      <w:r>
        <w:t>;</w:t>
      </w:r>
    </w:p>
    <w:p w14:paraId="58494687" w14:textId="77FC1402" w:rsidR="00A63928" w:rsidRDefault="00A63928" w:rsidP="004E601A">
      <w:pPr>
        <w:ind w:left="979" w:right="659" w:firstLine="0"/>
      </w:pPr>
      <w:r>
        <w:t xml:space="preserve">2) </w:t>
      </w:r>
      <w:r w:rsidR="00632A7F">
        <w:t xml:space="preserve">klienci korzystający z bankowości internetowej – zgodnie z „Zasadami udostępniania </w:t>
      </w:r>
      <w:r w:rsidR="00EC46F2">
        <w:br/>
      </w:r>
      <w:r w:rsidR="00632A7F">
        <w:t>i funkcjonowania elektronicznych kanałów dostępu”.</w:t>
      </w:r>
    </w:p>
    <w:p w14:paraId="1FB49EA6" w14:textId="2A9DB717" w:rsidR="00105E30" w:rsidRDefault="00126D97" w:rsidP="004E601A">
      <w:pPr>
        <w:spacing w:after="477" w:line="259" w:lineRule="auto"/>
        <w:ind w:left="0" w:right="0" w:firstLine="0"/>
        <w:jc w:val="left"/>
      </w:pPr>
      <w:r>
        <w:t xml:space="preserve"> </w:t>
      </w:r>
    </w:p>
    <w:p w14:paraId="5F1399AA" w14:textId="46003A85" w:rsidR="00664A64" w:rsidRDefault="00105E30" w:rsidP="00105E30">
      <w:pPr>
        <w:spacing w:after="0" w:line="259" w:lineRule="auto"/>
        <w:ind w:left="711" w:right="0" w:firstLine="0"/>
        <w:jc w:val="center"/>
      </w:pPr>
      <w:r>
        <w:t>2</w:t>
      </w:r>
    </w:p>
    <w:sectPr w:rsidR="00664A64">
      <w:footnotePr>
        <w:numRestart w:val="eachPage"/>
      </w:footnotePr>
      <w:pgSz w:w="11906" w:h="16838"/>
      <w:pgMar w:top="885" w:right="747" w:bottom="707" w:left="7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526C6" w14:textId="77777777" w:rsidR="008273E5" w:rsidRDefault="008273E5">
      <w:pPr>
        <w:spacing w:after="0" w:line="240" w:lineRule="auto"/>
      </w:pPr>
      <w:r>
        <w:separator/>
      </w:r>
    </w:p>
  </w:endnote>
  <w:endnote w:type="continuationSeparator" w:id="0">
    <w:p w14:paraId="643051D3" w14:textId="77777777" w:rsidR="008273E5" w:rsidRDefault="0082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C4C06" w14:textId="77777777" w:rsidR="008273E5" w:rsidRDefault="008273E5">
      <w:pPr>
        <w:spacing w:after="29" w:line="259" w:lineRule="auto"/>
        <w:ind w:left="711" w:right="0" w:firstLine="0"/>
        <w:jc w:val="left"/>
      </w:pPr>
      <w:r>
        <w:separator/>
      </w:r>
    </w:p>
  </w:footnote>
  <w:footnote w:type="continuationSeparator" w:id="0">
    <w:p w14:paraId="3A21832E" w14:textId="77777777" w:rsidR="008273E5" w:rsidRDefault="008273E5">
      <w:pPr>
        <w:spacing w:after="29" w:line="259" w:lineRule="auto"/>
        <w:ind w:left="711" w:right="0" w:firstLine="0"/>
        <w:jc w:val="left"/>
      </w:pPr>
      <w:r>
        <w:continuationSeparator/>
      </w:r>
    </w:p>
  </w:footnote>
  <w:footnote w:id="1">
    <w:p w14:paraId="3BAAEB25" w14:textId="01D77411" w:rsidR="00664A64" w:rsidRDefault="00105E30" w:rsidP="00105E30">
      <w:pPr>
        <w:pStyle w:val="footnotedescription"/>
        <w:ind w:left="0"/>
      </w:pPr>
      <w:r>
        <w:t xml:space="preserve">              </w:t>
      </w:r>
      <w:r w:rsidR="00126D97">
        <w:rPr>
          <w:rStyle w:val="footnotemark"/>
        </w:rPr>
        <w:footnoteRef/>
      </w:r>
      <w:r w:rsidR="00126D97">
        <w:t xml:space="preserve"> </w:t>
      </w:r>
      <w:r w:rsidR="00AF7752">
        <w:t>p</w:t>
      </w:r>
      <w:r w:rsidR="00126D97">
        <w:t xml:space="preserve">o udostępnieniu usługi przez </w:t>
      </w:r>
      <w:r w:rsidR="00AF7752">
        <w:t>b</w:t>
      </w:r>
      <w:r w:rsidR="00126D97">
        <w:t xml:space="preserve">ank </w:t>
      </w:r>
      <w:r>
        <w:t xml:space="preserve">                              </w:t>
      </w:r>
      <w:r w:rsidRPr="00105E30">
        <w:rPr>
          <w:sz w:val="24"/>
          <w:szCs w:val="24"/>
        </w:rPr>
        <w:t>1</w:t>
      </w:r>
    </w:p>
  </w:footnote>
  <w:footnote w:id="2">
    <w:p w14:paraId="1AD09C7C" w14:textId="6C8B67F8" w:rsidR="00AF7752" w:rsidRDefault="00AF7752" w:rsidP="004E601A">
      <w:pPr>
        <w:pStyle w:val="Tekstprzypisudolnego"/>
        <w:ind w:left="709" w:firstLine="0"/>
      </w:pPr>
      <w:r>
        <w:rPr>
          <w:rStyle w:val="Odwoanieprzypisudolnego"/>
        </w:rPr>
        <w:footnoteRef/>
      </w:r>
      <w:r>
        <w:t xml:space="preserve"> po udostępnieniu usługi przez bank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2A37"/>
    <w:multiLevelType w:val="hybridMultilevel"/>
    <w:tmpl w:val="6BBC8DA4"/>
    <w:lvl w:ilvl="0" w:tplc="3738DDC0">
      <w:start w:val="1"/>
      <w:numFmt w:val="decimal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0F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4ED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A0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6EF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C04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E8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23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8E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D5222"/>
    <w:multiLevelType w:val="hybridMultilevel"/>
    <w:tmpl w:val="724EA36C"/>
    <w:lvl w:ilvl="0" w:tplc="317E0C9E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C05510E"/>
    <w:multiLevelType w:val="hybridMultilevel"/>
    <w:tmpl w:val="BC3A8D10"/>
    <w:lvl w:ilvl="0" w:tplc="38EE9388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8C886">
      <w:start w:val="1"/>
      <w:numFmt w:val="decimal"/>
      <w:lvlText w:val="%2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2AD4E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49B22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AD93C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075C0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48350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4BD14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DA0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FD0E23"/>
    <w:multiLevelType w:val="hybridMultilevel"/>
    <w:tmpl w:val="FE743D5A"/>
    <w:lvl w:ilvl="0" w:tplc="1DAE149A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CE28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859A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C059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4379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64C5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62E9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40A0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CBAF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E56DCC"/>
    <w:multiLevelType w:val="hybridMultilevel"/>
    <w:tmpl w:val="FD8462DC"/>
    <w:lvl w:ilvl="0" w:tplc="0212C5E4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9FF8">
      <w:start w:val="1"/>
      <w:numFmt w:val="decimal"/>
      <w:lvlText w:val="%2)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03B4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4AEA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03E4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ECCA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EC4F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8D85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078E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5455F1"/>
    <w:multiLevelType w:val="hybridMultilevel"/>
    <w:tmpl w:val="AD5ACA38"/>
    <w:lvl w:ilvl="0" w:tplc="845E8B3E">
      <w:start w:val="1"/>
      <w:numFmt w:val="decimal"/>
      <w:lvlText w:val="%1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25B4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6696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08BF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8BDC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4FF3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4874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641E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0A02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9645101">
    <w:abstractNumId w:val="5"/>
  </w:num>
  <w:num w:numId="2" w16cid:durableId="402487743">
    <w:abstractNumId w:val="2"/>
  </w:num>
  <w:num w:numId="3" w16cid:durableId="1561138997">
    <w:abstractNumId w:val="3"/>
  </w:num>
  <w:num w:numId="4" w16cid:durableId="856039951">
    <w:abstractNumId w:val="0"/>
  </w:num>
  <w:num w:numId="5" w16cid:durableId="550114363">
    <w:abstractNumId w:val="4"/>
  </w:num>
  <w:num w:numId="6" w16cid:durableId="102911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64"/>
    <w:rsid w:val="00105E30"/>
    <w:rsid w:val="00126D97"/>
    <w:rsid w:val="001E1902"/>
    <w:rsid w:val="002A4D44"/>
    <w:rsid w:val="00303CB2"/>
    <w:rsid w:val="003148AF"/>
    <w:rsid w:val="00325873"/>
    <w:rsid w:val="00390780"/>
    <w:rsid w:val="003A3A13"/>
    <w:rsid w:val="003E6592"/>
    <w:rsid w:val="00402BAC"/>
    <w:rsid w:val="004E601A"/>
    <w:rsid w:val="00632A7F"/>
    <w:rsid w:val="00664A64"/>
    <w:rsid w:val="006F37BB"/>
    <w:rsid w:val="00782626"/>
    <w:rsid w:val="007A2BAB"/>
    <w:rsid w:val="008273E5"/>
    <w:rsid w:val="008325CE"/>
    <w:rsid w:val="0093077B"/>
    <w:rsid w:val="00993981"/>
    <w:rsid w:val="00A63928"/>
    <w:rsid w:val="00AF7752"/>
    <w:rsid w:val="00B92CC8"/>
    <w:rsid w:val="00BC3FCC"/>
    <w:rsid w:val="00D03326"/>
    <w:rsid w:val="00D21E70"/>
    <w:rsid w:val="00D961EE"/>
    <w:rsid w:val="00DD45C6"/>
    <w:rsid w:val="00EC46F2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D1A6"/>
  <w15:docId w15:val="{2581550C-6638-4C7F-86DB-16C7AAB6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49" w:lineRule="auto"/>
      <w:ind w:left="862" w:right="6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/>
      <w:ind w:left="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29"/>
      <w:ind w:left="71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Poprawka">
    <w:name w:val="Revision"/>
    <w:hidden/>
    <w:uiPriority w:val="99"/>
    <w:semiHidden/>
    <w:rsid w:val="009939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05E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77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75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7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C9BC-B503-4615-A015-76E95D98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Sobera</dc:creator>
  <cp:keywords/>
  <cp:lastModifiedBy>dorota.jakubowska@bbs-bank.pl</cp:lastModifiedBy>
  <cp:revision>11</cp:revision>
  <cp:lastPrinted>2024-03-28T12:53:00Z</cp:lastPrinted>
  <dcterms:created xsi:type="dcterms:W3CDTF">2023-04-20T11:24:00Z</dcterms:created>
  <dcterms:modified xsi:type="dcterms:W3CDTF">2024-03-29T07:58:00Z</dcterms:modified>
</cp:coreProperties>
</file>