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A751" w14:textId="77777777" w:rsidR="00761CBF" w:rsidRPr="008D7FAA" w:rsidRDefault="008D7FAA" w:rsidP="008D7FAA">
      <w:pPr>
        <w:pStyle w:val="Default"/>
        <w:jc w:val="both"/>
        <w:rPr>
          <w:rFonts w:ascii="Times New Roman" w:hAnsi="Times New Roman" w:cs="Times New Roman"/>
        </w:rPr>
      </w:pPr>
      <w:r w:rsidRPr="008D7FAA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353BB" wp14:editId="2D600966">
                <wp:simplePos x="0" y="0"/>
                <wp:positionH relativeFrom="column">
                  <wp:posOffset>3799366</wp:posOffset>
                </wp:positionH>
                <wp:positionV relativeFrom="paragraph">
                  <wp:posOffset>-582844</wp:posOffset>
                </wp:positionV>
                <wp:extent cx="2475865" cy="697865"/>
                <wp:effectExtent l="0" t="0" r="635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7246D" w14:textId="77777777" w:rsidR="008D7FAA" w:rsidRPr="00866488" w:rsidRDefault="008D7FAA" w:rsidP="0086648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66488">
                              <w:rPr>
                                <w:bCs/>
                                <w:sz w:val="20"/>
                                <w:szCs w:val="20"/>
                              </w:rPr>
                              <w:t>Załącznik</w:t>
                            </w:r>
                            <w:r w:rsidR="003523F2" w:rsidRPr="0086648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nr </w:t>
                            </w:r>
                            <w:r w:rsidR="00D60097" w:rsidRPr="00866488">
                              <w:rPr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7F8D5D82" w14:textId="77777777" w:rsidR="008D7FAA" w:rsidRPr="00892B13" w:rsidRDefault="008D7FAA" w:rsidP="008664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3A9B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3523F2" w:rsidRPr="008F649B">
                              <w:rPr>
                                <w:sz w:val="20"/>
                                <w:szCs w:val="20"/>
                              </w:rPr>
                              <w:t xml:space="preserve">„Regulaminu świadczenia usług </w:t>
                            </w:r>
                            <w:r w:rsidR="003523F2" w:rsidRPr="008F649B">
                              <w:rPr>
                                <w:sz w:val="20"/>
                                <w:szCs w:val="20"/>
                              </w:rPr>
                              <w:br/>
                              <w:t>w zakresie prowadzenia rachunków bankowych dla klientów in</w:t>
                            </w:r>
                            <w:r w:rsidR="001440A8">
                              <w:rPr>
                                <w:sz w:val="20"/>
                                <w:szCs w:val="20"/>
                              </w:rPr>
                              <w:t>dywidualnych</w:t>
                            </w:r>
                            <w:r w:rsidR="003523F2" w:rsidRPr="008F649B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53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15pt;margin-top:-45.9pt;width:194.95pt;height:5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" stroked="f">
                <v:textbox>
                  <w:txbxContent>
                    <w:p w14:paraId="7487246D" w14:textId="77777777" w:rsidR="008D7FAA" w:rsidRPr="00866488" w:rsidRDefault="008D7FAA" w:rsidP="0086648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866488">
                        <w:rPr>
                          <w:bCs/>
                          <w:sz w:val="20"/>
                          <w:szCs w:val="20"/>
                        </w:rPr>
                        <w:t>Załącznik</w:t>
                      </w:r>
                      <w:r w:rsidR="003523F2" w:rsidRPr="00866488">
                        <w:rPr>
                          <w:bCs/>
                          <w:sz w:val="20"/>
                          <w:szCs w:val="20"/>
                        </w:rPr>
                        <w:t xml:space="preserve"> nr </w:t>
                      </w:r>
                      <w:r w:rsidR="00D60097" w:rsidRPr="00866488">
                        <w:rPr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7F8D5D82" w14:textId="77777777" w:rsidR="008D7FAA" w:rsidRPr="00892B13" w:rsidRDefault="008D7FAA" w:rsidP="00866488">
                      <w:pPr>
                        <w:rPr>
                          <w:sz w:val="20"/>
                          <w:szCs w:val="20"/>
                        </w:rPr>
                      </w:pPr>
                      <w:r w:rsidRPr="00F13A9B">
                        <w:rPr>
                          <w:sz w:val="20"/>
                          <w:szCs w:val="20"/>
                        </w:rPr>
                        <w:t xml:space="preserve">do </w:t>
                      </w:r>
                      <w:r w:rsidR="003523F2" w:rsidRPr="008F649B">
                        <w:rPr>
                          <w:sz w:val="20"/>
                          <w:szCs w:val="20"/>
                        </w:rPr>
                        <w:t xml:space="preserve">„Regulaminu świadczenia usług </w:t>
                      </w:r>
                      <w:r w:rsidR="003523F2" w:rsidRPr="008F649B">
                        <w:rPr>
                          <w:sz w:val="20"/>
                          <w:szCs w:val="20"/>
                        </w:rPr>
                        <w:br/>
                        <w:t>w zakresie prowadzenia rachunków bankowych dla klientów in</w:t>
                      </w:r>
                      <w:r w:rsidR="001440A8">
                        <w:rPr>
                          <w:sz w:val="20"/>
                          <w:szCs w:val="20"/>
                        </w:rPr>
                        <w:t>dywidualnych</w:t>
                      </w:r>
                      <w:r w:rsidR="003523F2" w:rsidRPr="008F649B">
                        <w:rPr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48B29682" w14:textId="77777777" w:rsidR="008376D0" w:rsidRDefault="008376D0" w:rsidP="008D7FAA">
      <w:pPr>
        <w:pStyle w:val="Default"/>
        <w:jc w:val="both"/>
        <w:rPr>
          <w:rFonts w:ascii="Times New Roman" w:hAnsi="Times New Roman" w:cs="Times New Roman"/>
        </w:rPr>
      </w:pPr>
    </w:p>
    <w:p w14:paraId="0644C907" w14:textId="6A3CD256" w:rsidR="00761CBF" w:rsidRPr="003523F2" w:rsidRDefault="001440A8" w:rsidP="008D7FAA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3523F2" w:rsidRPr="003523F2">
        <w:rPr>
          <w:rFonts w:ascii="Times New Roman" w:hAnsi="Times New Roman" w:cs="Times New Roman"/>
          <w:b/>
        </w:rPr>
        <w:t xml:space="preserve">asady świadczenia usługi </w:t>
      </w:r>
      <w:r w:rsidRPr="003523F2">
        <w:rPr>
          <w:rFonts w:ascii="Times New Roman" w:hAnsi="Times New Roman" w:cs="Times New Roman"/>
          <w:b/>
        </w:rPr>
        <w:t>Kantor SGB</w:t>
      </w:r>
      <w:r w:rsidR="003523F2" w:rsidRPr="003523F2">
        <w:rPr>
          <w:rFonts w:ascii="Times New Roman" w:hAnsi="Times New Roman" w:cs="Times New Roman"/>
          <w:b/>
        </w:rPr>
        <w:t xml:space="preserve"> </w:t>
      </w:r>
      <w:r w:rsidR="00C43C11">
        <w:rPr>
          <w:rFonts w:ascii="Times New Roman" w:hAnsi="Times New Roman" w:cs="Times New Roman"/>
          <w:b/>
        </w:rPr>
        <w:t xml:space="preserve">w ramach usług </w:t>
      </w:r>
      <w:r w:rsidR="003523F2" w:rsidRPr="003523F2">
        <w:rPr>
          <w:rFonts w:ascii="Times New Roman" w:hAnsi="Times New Roman" w:cs="Times New Roman"/>
          <w:b/>
        </w:rPr>
        <w:t xml:space="preserve">bankowości elektronicznej </w:t>
      </w:r>
    </w:p>
    <w:p w14:paraId="278564E0" w14:textId="77777777" w:rsidR="00761CBF" w:rsidRPr="008D7FAA" w:rsidRDefault="00761CBF" w:rsidP="008D7FAA">
      <w:pPr>
        <w:pStyle w:val="Default"/>
        <w:spacing w:after="123"/>
        <w:jc w:val="center"/>
        <w:rPr>
          <w:rFonts w:ascii="Times New Roman" w:hAnsi="Times New Roman" w:cs="Times New Roman"/>
        </w:rPr>
      </w:pPr>
      <w:r w:rsidRPr="008D7FAA">
        <w:rPr>
          <w:rFonts w:ascii="Times New Roman" w:hAnsi="Times New Roman" w:cs="Times New Roman"/>
          <w:b/>
          <w:bCs/>
        </w:rPr>
        <w:t>Postanowienia ogólne i definicje</w:t>
      </w:r>
    </w:p>
    <w:p w14:paraId="437BA7C3" w14:textId="77777777" w:rsidR="00761CBF" w:rsidRPr="008D7FAA" w:rsidRDefault="008D7FAA" w:rsidP="008D7FAA">
      <w:pPr>
        <w:pStyle w:val="Default"/>
        <w:spacing w:after="123"/>
        <w:jc w:val="center"/>
        <w:rPr>
          <w:rFonts w:ascii="Times New Roman" w:hAnsi="Times New Roman" w:cs="Times New Roman"/>
        </w:rPr>
      </w:pPr>
      <w:r w:rsidRPr="008D7FAA">
        <w:rPr>
          <w:rFonts w:ascii="Times New Roman" w:hAnsi="Times New Roman" w:cs="Times New Roman"/>
          <w:bCs/>
        </w:rPr>
        <w:t>§ 1</w:t>
      </w:r>
    </w:p>
    <w:p w14:paraId="79DFBB21" w14:textId="259CACB0" w:rsidR="00761CBF" w:rsidRPr="00AF2271" w:rsidRDefault="003523F2" w:rsidP="00C84E9B">
      <w:pPr>
        <w:pStyle w:val="Tekstpodstawowywcity"/>
        <w:numPr>
          <w:ilvl w:val="0"/>
          <w:numId w:val="23"/>
        </w:numPr>
        <w:spacing w:after="0"/>
        <w:jc w:val="both"/>
        <w:rPr>
          <w:lang w:val="pl-PL"/>
        </w:rPr>
      </w:pPr>
      <w:r w:rsidRPr="00AF2271">
        <w:rPr>
          <w:lang w:val="pl-PL"/>
        </w:rPr>
        <w:t>Niniejsz</w:t>
      </w:r>
      <w:r w:rsidR="00961524" w:rsidRPr="00AF2271">
        <w:rPr>
          <w:lang w:val="pl-PL"/>
        </w:rPr>
        <w:t>e</w:t>
      </w:r>
      <w:r w:rsidRPr="00AF2271">
        <w:rPr>
          <w:lang w:val="pl-PL"/>
        </w:rPr>
        <w:t xml:space="preserve"> </w:t>
      </w:r>
      <w:r w:rsidR="00961524" w:rsidRPr="00AF2271">
        <w:rPr>
          <w:lang w:val="pl-PL"/>
        </w:rPr>
        <w:t xml:space="preserve">„Zasady świadczenia usługi Kantor SGB w ramach usług bankowości elektronicznej” </w:t>
      </w:r>
      <w:r w:rsidR="00961524" w:rsidRPr="00AF2271">
        <w:rPr>
          <w:b/>
          <w:lang w:val="pl-PL"/>
        </w:rPr>
        <w:t xml:space="preserve"> zwane dalej „zasadami” </w:t>
      </w:r>
      <w:r w:rsidR="00761CBF" w:rsidRPr="00AF2271">
        <w:rPr>
          <w:lang w:val="pl-PL"/>
        </w:rPr>
        <w:t>określa</w:t>
      </w:r>
      <w:r w:rsidR="00961524" w:rsidRPr="00AF2271">
        <w:rPr>
          <w:lang w:val="pl-PL"/>
        </w:rPr>
        <w:t xml:space="preserve">ją warunki korzystania z </w:t>
      </w:r>
      <w:r w:rsidRPr="00AF2271">
        <w:rPr>
          <w:lang w:val="pl-PL"/>
        </w:rPr>
        <w:t xml:space="preserve">usługi </w:t>
      </w:r>
      <w:r w:rsidR="002B47F3" w:rsidRPr="00AF2271">
        <w:rPr>
          <w:lang w:val="pl-PL"/>
        </w:rPr>
        <w:t>K</w:t>
      </w:r>
      <w:r w:rsidRPr="00AF2271">
        <w:rPr>
          <w:lang w:val="pl-PL"/>
        </w:rPr>
        <w:t>antor</w:t>
      </w:r>
      <w:r w:rsidR="002B47F3" w:rsidRPr="00AF2271">
        <w:rPr>
          <w:lang w:val="pl-PL"/>
        </w:rPr>
        <w:t xml:space="preserve"> SGB</w:t>
      </w:r>
      <w:r w:rsidRPr="00AF2271">
        <w:rPr>
          <w:lang w:val="pl-PL"/>
        </w:rPr>
        <w:t>, umożliwiającej k</w:t>
      </w:r>
      <w:r w:rsidR="00761CBF" w:rsidRPr="00AF2271">
        <w:rPr>
          <w:lang w:val="pl-PL"/>
        </w:rPr>
        <w:t xml:space="preserve">lientom </w:t>
      </w:r>
      <w:r w:rsidR="00764605" w:rsidRPr="00AF2271">
        <w:rPr>
          <w:lang w:val="pl-PL"/>
        </w:rPr>
        <w:t xml:space="preserve">wymianę </w:t>
      </w:r>
      <w:r w:rsidR="00761CBF" w:rsidRPr="00AF2271">
        <w:rPr>
          <w:lang w:val="pl-PL"/>
        </w:rPr>
        <w:t xml:space="preserve">walut </w:t>
      </w:r>
      <w:r w:rsidR="00764605" w:rsidRPr="00AF2271">
        <w:rPr>
          <w:lang w:val="pl-PL"/>
        </w:rPr>
        <w:t xml:space="preserve">(kupno lub sprzedaż) </w:t>
      </w:r>
      <w:r w:rsidR="00761CBF" w:rsidRPr="00AF2271">
        <w:rPr>
          <w:lang w:val="pl-PL"/>
        </w:rPr>
        <w:t xml:space="preserve">z rozliczeniem </w:t>
      </w:r>
      <w:r w:rsidR="006704CA">
        <w:rPr>
          <w:lang w:val="pl-PL"/>
        </w:rPr>
        <w:br/>
      </w:r>
      <w:r w:rsidR="00761CBF" w:rsidRPr="00AF2271">
        <w:rPr>
          <w:lang w:val="pl-PL"/>
        </w:rPr>
        <w:t>w formie bezgotówkowej, za pośrednictwem bankowości elektronicznej</w:t>
      </w:r>
      <w:r w:rsidR="00CC0217">
        <w:rPr>
          <w:lang w:val="pl-PL"/>
        </w:rPr>
        <w:t xml:space="preserve">, </w:t>
      </w:r>
      <w:r w:rsidR="00CC0217">
        <w:rPr>
          <w:lang w:val="pl-PL"/>
        </w:rPr>
        <w:t>z zastrzeżeniem, iż Regulamin korzystania z aplikacji mobilnej SGB Mobile wskazuje zasady korzystania z usługi w ramach bankowości mobilnej</w:t>
      </w:r>
      <w:r w:rsidR="00CC0217">
        <w:rPr>
          <w:rStyle w:val="Odwoanieprzypisudolnego"/>
          <w:lang w:val="pl-PL"/>
        </w:rPr>
        <w:footnoteReference w:id="1"/>
      </w:r>
      <w:r w:rsidR="00761CBF" w:rsidRPr="00AF2271">
        <w:rPr>
          <w:lang w:val="pl-PL"/>
        </w:rPr>
        <w:t xml:space="preserve"> </w:t>
      </w:r>
    </w:p>
    <w:p w14:paraId="34A759B8" w14:textId="0CDCA6EF" w:rsidR="00873D83" w:rsidRPr="00AF2271" w:rsidRDefault="00873D83" w:rsidP="00C84E9B">
      <w:pPr>
        <w:pStyle w:val="Tekstpodstawowywcity"/>
        <w:numPr>
          <w:ilvl w:val="0"/>
          <w:numId w:val="23"/>
        </w:numPr>
        <w:spacing w:after="0"/>
        <w:jc w:val="both"/>
        <w:rPr>
          <w:lang w:val="pl-PL"/>
        </w:rPr>
      </w:pPr>
      <w:r w:rsidRPr="00F023A7">
        <w:rPr>
          <w:lang w:val="pl-PL"/>
        </w:rPr>
        <w:t xml:space="preserve">Zasady </w:t>
      </w:r>
      <w:r w:rsidRPr="00F023A7">
        <w:t xml:space="preserve">użytkowania Kantoru SGB </w:t>
      </w:r>
      <w:r w:rsidRPr="00F023A7">
        <w:rPr>
          <w:lang w:val="pl-PL"/>
        </w:rPr>
        <w:t xml:space="preserve">są opisane w </w:t>
      </w:r>
      <w:r w:rsidRPr="00150E87">
        <w:rPr>
          <w:lang w:val="pl-PL"/>
        </w:rPr>
        <w:t>Instrukcji</w:t>
      </w:r>
      <w:r w:rsidRPr="00150E87">
        <w:t xml:space="preserve"> </w:t>
      </w:r>
      <w:r w:rsidRPr="00AF2271">
        <w:t>użytkowa</w:t>
      </w:r>
      <w:r w:rsidR="00C84E9B" w:rsidRPr="00AF2271">
        <w:rPr>
          <w:lang w:val="pl-PL"/>
        </w:rPr>
        <w:t>nia</w:t>
      </w:r>
      <w:r w:rsidRPr="00AF2271">
        <w:t xml:space="preserve"> Kantoru SGB</w:t>
      </w:r>
      <w:r w:rsidR="002D0C65" w:rsidRPr="00AF2271">
        <w:rPr>
          <w:lang w:val="pl-PL"/>
        </w:rPr>
        <w:t>, zwan</w:t>
      </w:r>
      <w:r w:rsidR="006704CA">
        <w:rPr>
          <w:lang w:val="pl-PL"/>
        </w:rPr>
        <w:t>ej</w:t>
      </w:r>
      <w:r w:rsidR="002D0C65" w:rsidRPr="00AF2271">
        <w:rPr>
          <w:lang w:val="pl-PL"/>
        </w:rPr>
        <w:t xml:space="preserve"> dalej „instrukcją”</w:t>
      </w:r>
      <w:r w:rsidRPr="00AF2271">
        <w:rPr>
          <w:lang w:val="pl-PL"/>
        </w:rPr>
        <w:t>; instrukcja</w:t>
      </w:r>
      <w:r w:rsidRPr="00AF2271">
        <w:t xml:space="preserve"> </w:t>
      </w:r>
      <w:r w:rsidRPr="00AF2271">
        <w:rPr>
          <w:lang w:val="pl-PL"/>
        </w:rPr>
        <w:t xml:space="preserve">jest </w:t>
      </w:r>
      <w:r w:rsidRPr="00AF2271">
        <w:t>dostępn</w:t>
      </w:r>
      <w:r w:rsidRPr="00AF2271">
        <w:rPr>
          <w:lang w:val="pl-PL"/>
        </w:rPr>
        <w:t>a</w:t>
      </w:r>
      <w:r w:rsidRPr="00AF2271">
        <w:t xml:space="preserve"> na stronie internetowej </w:t>
      </w:r>
      <w:r w:rsidR="00866488">
        <w:rPr>
          <w:lang w:val="pl-PL"/>
        </w:rPr>
        <w:t>b</w:t>
      </w:r>
      <w:proofErr w:type="spellStart"/>
      <w:r w:rsidRPr="00AF2271">
        <w:t>anku</w:t>
      </w:r>
      <w:proofErr w:type="spellEnd"/>
      <w:r w:rsidRPr="00AF2271">
        <w:rPr>
          <w:lang w:val="pl-PL"/>
        </w:rPr>
        <w:t>.</w:t>
      </w:r>
    </w:p>
    <w:p w14:paraId="171AD248" w14:textId="77777777" w:rsidR="00761CBF" w:rsidRPr="00AF2271" w:rsidRDefault="00761CBF" w:rsidP="008D7FAA">
      <w:pPr>
        <w:pStyle w:val="Tekstpodstawowywcity"/>
        <w:spacing w:after="0"/>
        <w:ind w:left="-142" w:hanging="284"/>
        <w:jc w:val="both"/>
        <w:rPr>
          <w:lang w:val="pl-PL"/>
        </w:rPr>
      </w:pPr>
    </w:p>
    <w:p w14:paraId="7B01E035" w14:textId="0F56ECA5" w:rsidR="0050626B" w:rsidRPr="00AF2271" w:rsidRDefault="00DD7FE1" w:rsidP="0050626B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b/>
          <w:bCs/>
          <w:color w:val="000000"/>
          <w:lang w:eastAsia="en-US"/>
        </w:rPr>
        <w:t xml:space="preserve">Udostępnienie </w:t>
      </w:r>
      <w:r w:rsidR="00F73411" w:rsidRPr="00AF2271">
        <w:rPr>
          <w:rFonts w:eastAsiaTheme="minorHAnsi"/>
          <w:b/>
          <w:bCs/>
          <w:color w:val="000000"/>
          <w:lang w:eastAsia="en-US"/>
        </w:rPr>
        <w:t xml:space="preserve">i korzystanie </w:t>
      </w:r>
      <w:r w:rsidR="00266100" w:rsidRPr="00AF2271">
        <w:rPr>
          <w:rFonts w:eastAsiaTheme="minorHAnsi"/>
          <w:b/>
          <w:bCs/>
          <w:color w:val="000000"/>
          <w:lang w:eastAsia="en-US"/>
        </w:rPr>
        <w:t xml:space="preserve">z </w:t>
      </w:r>
      <w:r w:rsidR="001001E6" w:rsidRPr="00AF2271">
        <w:rPr>
          <w:rFonts w:eastAsiaTheme="minorHAnsi"/>
          <w:b/>
          <w:bCs/>
          <w:color w:val="000000"/>
          <w:lang w:eastAsia="en-US"/>
        </w:rPr>
        <w:t xml:space="preserve">Kantoru SGB </w:t>
      </w:r>
    </w:p>
    <w:p w14:paraId="1203391C" w14:textId="77777777" w:rsidR="0050626B" w:rsidRPr="00AF2271" w:rsidRDefault="0050626B" w:rsidP="0050626B">
      <w:pPr>
        <w:autoSpaceDE w:val="0"/>
        <w:autoSpaceDN w:val="0"/>
        <w:adjustRightInd w:val="0"/>
        <w:spacing w:after="12"/>
        <w:jc w:val="center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bCs/>
          <w:color w:val="000000"/>
          <w:lang w:eastAsia="en-US"/>
        </w:rPr>
        <w:t xml:space="preserve">§ </w:t>
      </w:r>
      <w:r w:rsidR="00161D46" w:rsidRPr="00AF2271">
        <w:rPr>
          <w:rFonts w:eastAsiaTheme="minorHAnsi"/>
          <w:bCs/>
          <w:color w:val="000000"/>
          <w:lang w:eastAsia="en-US"/>
        </w:rPr>
        <w:t>2</w:t>
      </w:r>
    </w:p>
    <w:p w14:paraId="20B2915C" w14:textId="77777777" w:rsidR="002D39C2" w:rsidRPr="00AF2271" w:rsidRDefault="002D39C2" w:rsidP="002D39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"/>
        <w:ind w:left="426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Warunkiem </w:t>
      </w:r>
      <w:r w:rsidR="001001E6" w:rsidRPr="00AF2271">
        <w:rPr>
          <w:rFonts w:eastAsiaTheme="minorHAnsi"/>
          <w:color w:val="000000"/>
          <w:lang w:eastAsia="en-US"/>
        </w:rPr>
        <w:t xml:space="preserve">korzystania z Kantoru SGB </w:t>
      </w:r>
      <w:r w:rsidRPr="00AF2271">
        <w:rPr>
          <w:rFonts w:eastAsiaTheme="minorHAnsi"/>
          <w:color w:val="000000"/>
          <w:lang w:eastAsia="en-US"/>
        </w:rPr>
        <w:t>jest:</w:t>
      </w:r>
    </w:p>
    <w:p w14:paraId="7D7F3402" w14:textId="6EF13DAE" w:rsidR="002D39C2" w:rsidRPr="00AF2271" w:rsidRDefault="002D39C2" w:rsidP="002D39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"/>
        <w:ind w:left="851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posiadanie rachunku ROR oraz co najmniej jednego rachunku oszczędnościowego </w:t>
      </w:r>
      <w:r w:rsidR="000E107F" w:rsidRPr="00AF2271">
        <w:rPr>
          <w:rFonts w:eastAsiaTheme="minorHAnsi"/>
          <w:color w:val="000000"/>
          <w:lang w:eastAsia="en-US"/>
        </w:rPr>
        <w:br/>
      </w:r>
      <w:r w:rsidRPr="00AF2271">
        <w:rPr>
          <w:rFonts w:eastAsiaTheme="minorHAnsi"/>
          <w:color w:val="000000"/>
          <w:lang w:eastAsia="en-US"/>
        </w:rPr>
        <w:t>w walucie wymienialnej</w:t>
      </w:r>
      <w:r w:rsidR="00454639" w:rsidRPr="00AF2271">
        <w:rPr>
          <w:rFonts w:eastAsiaTheme="minorHAnsi"/>
          <w:color w:val="000000"/>
          <w:lang w:eastAsia="en-US"/>
        </w:rPr>
        <w:t>,</w:t>
      </w:r>
      <w:r w:rsidRPr="00AF2271">
        <w:rPr>
          <w:rFonts w:eastAsiaTheme="minorHAnsi"/>
          <w:color w:val="000000"/>
          <w:lang w:eastAsia="en-US"/>
        </w:rPr>
        <w:t xml:space="preserve"> dla której </w:t>
      </w:r>
      <w:r w:rsidR="00866488">
        <w:rPr>
          <w:rFonts w:eastAsiaTheme="minorHAnsi"/>
          <w:color w:val="000000"/>
          <w:lang w:eastAsia="en-US"/>
        </w:rPr>
        <w:t>b</w:t>
      </w:r>
      <w:r w:rsidRPr="00AF2271">
        <w:rPr>
          <w:rFonts w:eastAsiaTheme="minorHAnsi"/>
          <w:color w:val="000000"/>
          <w:lang w:eastAsia="en-US"/>
        </w:rPr>
        <w:t>ank oferuje Kantor SGB</w:t>
      </w:r>
      <w:r w:rsidR="000C5777" w:rsidRPr="00AF2271">
        <w:rPr>
          <w:rFonts w:eastAsiaTheme="minorHAnsi"/>
          <w:color w:val="000000"/>
          <w:lang w:eastAsia="en-US"/>
        </w:rPr>
        <w:t>;</w:t>
      </w:r>
    </w:p>
    <w:p w14:paraId="13FB3CC5" w14:textId="77777777" w:rsidR="000C5777" w:rsidRPr="00AF2271" w:rsidRDefault="000C5777" w:rsidP="002D39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"/>
        <w:ind w:left="851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korzystanie z </w:t>
      </w:r>
      <w:r w:rsidR="00764605" w:rsidRPr="00AF2271">
        <w:rPr>
          <w:rFonts w:eastAsiaTheme="minorHAnsi"/>
          <w:color w:val="000000"/>
          <w:lang w:eastAsia="en-US"/>
        </w:rPr>
        <w:t xml:space="preserve">usług </w:t>
      </w:r>
      <w:r w:rsidRPr="00AF2271">
        <w:rPr>
          <w:rFonts w:eastAsiaTheme="minorHAnsi"/>
          <w:color w:val="000000"/>
          <w:lang w:eastAsia="en-US"/>
        </w:rPr>
        <w:t>bankowości elektronicznej;</w:t>
      </w:r>
    </w:p>
    <w:p w14:paraId="285717C7" w14:textId="77777777" w:rsidR="000C5777" w:rsidRPr="00AF2271" w:rsidRDefault="000C5777" w:rsidP="002D39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"/>
        <w:ind w:left="851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>udostępnienie rachunków, o których mowa w pkt 1 w bankowości elektronicznej;</w:t>
      </w:r>
    </w:p>
    <w:p w14:paraId="3037E856" w14:textId="6B4A0FE8" w:rsidR="000C5777" w:rsidRPr="00AF2271" w:rsidRDefault="000C5777" w:rsidP="002D39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"/>
        <w:ind w:left="851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udostępnienie Kantoru SGB przez </w:t>
      </w:r>
      <w:r w:rsidR="00866488">
        <w:rPr>
          <w:rFonts w:eastAsiaTheme="minorHAnsi"/>
          <w:color w:val="000000"/>
          <w:lang w:eastAsia="en-US"/>
        </w:rPr>
        <w:t>b</w:t>
      </w:r>
      <w:r w:rsidRPr="00AF2271">
        <w:rPr>
          <w:rFonts w:eastAsiaTheme="minorHAnsi"/>
          <w:color w:val="000000"/>
          <w:lang w:eastAsia="en-US"/>
        </w:rPr>
        <w:t>ank</w:t>
      </w:r>
      <w:r w:rsidR="0034014B" w:rsidRPr="00AF2271">
        <w:rPr>
          <w:rFonts w:eastAsiaTheme="minorHAnsi"/>
          <w:color w:val="000000"/>
          <w:lang w:eastAsia="en-US"/>
        </w:rPr>
        <w:t xml:space="preserve"> użytkownik</w:t>
      </w:r>
      <w:r w:rsidR="00197791" w:rsidRPr="00AF2271">
        <w:rPr>
          <w:rFonts w:eastAsiaTheme="minorHAnsi"/>
          <w:color w:val="000000"/>
          <w:lang w:eastAsia="en-US"/>
        </w:rPr>
        <w:t>owi</w:t>
      </w:r>
      <w:r w:rsidRPr="00AF2271">
        <w:rPr>
          <w:rFonts w:eastAsiaTheme="minorHAnsi"/>
          <w:color w:val="000000"/>
          <w:lang w:eastAsia="en-US"/>
        </w:rPr>
        <w:t>.</w:t>
      </w:r>
    </w:p>
    <w:p w14:paraId="6BD90A2D" w14:textId="7945A600" w:rsidR="00F607FF" w:rsidRPr="00AF2271" w:rsidRDefault="00F607FF" w:rsidP="00F607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"/>
        <w:ind w:left="426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Kantor SGB jest dostępny dla </w:t>
      </w:r>
      <w:r w:rsidR="00BE498B">
        <w:rPr>
          <w:rFonts w:eastAsiaTheme="minorHAnsi"/>
          <w:color w:val="000000"/>
          <w:lang w:eastAsia="en-US"/>
        </w:rPr>
        <w:t xml:space="preserve">użytkowników: </w:t>
      </w:r>
      <w:r w:rsidRPr="00AF2271">
        <w:rPr>
          <w:rFonts w:eastAsiaTheme="minorHAnsi"/>
          <w:color w:val="000000"/>
          <w:lang w:eastAsia="en-US"/>
        </w:rPr>
        <w:t>posiadacza rachunku, a w przypadku rachunku wspólnego dla współposiadaczy oraz pełnomocnika stałego</w:t>
      </w:r>
      <w:r w:rsidR="00CC0217">
        <w:rPr>
          <w:rFonts w:eastAsiaTheme="minorHAnsi"/>
          <w:color w:val="000000"/>
          <w:lang w:eastAsia="en-US"/>
        </w:rPr>
        <w:t>;</w:t>
      </w:r>
      <w:r w:rsidR="00CC0217" w:rsidRPr="00CC0217">
        <w:rPr>
          <w:rFonts w:eastAsiaTheme="minorHAnsi"/>
          <w:color w:val="000000"/>
          <w:lang w:eastAsia="en-US"/>
        </w:rPr>
        <w:t xml:space="preserve"> </w:t>
      </w:r>
      <w:r w:rsidR="00CC0217">
        <w:rPr>
          <w:rFonts w:eastAsiaTheme="minorHAnsi"/>
          <w:color w:val="000000"/>
          <w:lang w:eastAsia="en-US"/>
        </w:rPr>
        <w:t>usługa nie jest dostępna dla  małoletnich poniżej 13 roku życia</w:t>
      </w:r>
      <w:r w:rsidR="00CC0217" w:rsidRPr="00AF2271">
        <w:rPr>
          <w:rFonts w:eastAsiaTheme="minorHAnsi"/>
          <w:color w:val="000000"/>
          <w:lang w:eastAsia="en-US"/>
        </w:rPr>
        <w:t>.</w:t>
      </w:r>
    </w:p>
    <w:p w14:paraId="00683F83" w14:textId="61A9C3CB" w:rsidR="0050626B" w:rsidRPr="00AF2271" w:rsidRDefault="00C279C2" w:rsidP="00F607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"/>
        <w:ind w:left="426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Udostępnienie </w:t>
      </w:r>
      <w:r w:rsidR="000C5777" w:rsidRPr="00AF2271">
        <w:rPr>
          <w:rFonts w:eastAsiaTheme="minorHAnsi"/>
          <w:color w:val="000000"/>
          <w:lang w:eastAsia="en-US"/>
        </w:rPr>
        <w:t>Kantoru SGB</w:t>
      </w:r>
      <w:r w:rsidR="0050626B" w:rsidRPr="00AF2271">
        <w:rPr>
          <w:rFonts w:eastAsiaTheme="minorHAnsi"/>
          <w:color w:val="000000"/>
          <w:lang w:eastAsia="en-US"/>
        </w:rPr>
        <w:t xml:space="preserve"> następuje na podstawie </w:t>
      </w:r>
      <w:r w:rsidR="000C5777" w:rsidRPr="00AF2271">
        <w:rPr>
          <w:rFonts w:eastAsiaTheme="minorHAnsi"/>
          <w:color w:val="000000"/>
          <w:lang w:eastAsia="en-US"/>
        </w:rPr>
        <w:t>wniosku złożonego</w:t>
      </w:r>
      <w:r w:rsidR="0034014B" w:rsidRPr="00AF2271">
        <w:rPr>
          <w:rFonts w:eastAsiaTheme="minorHAnsi"/>
          <w:color w:val="000000"/>
          <w:lang w:eastAsia="en-US"/>
        </w:rPr>
        <w:t>:</w:t>
      </w:r>
      <w:r w:rsidR="0050626B" w:rsidRPr="00AF2271">
        <w:rPr>
          <w:rFonts w:eastAsiaTheme="minorHAnsi"/>
          <w:color w:val="000000"/>
          <w:lang w:eastAsia="en-US"/>
        </w:rPr>
        <w:t xml:space="preserve"> </w:t>
      </w:r>
    </w:p>
    <w:p w14:paraId="3A592C14" w14:textId="31EEB964" w:rsidR="0050626B" w:rsidRPr="00941A67" w:rsidRDefault="0050626B" w:rsidP="0086648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"/>
        <w:jc w:val="both"/>
        <w:rPr>
          <w:rFonts w:eastAsiaTheme="minorHAnsi"/>
          <w:lang w:eastAsia="en-US"/>
        </w:rPr>
      </w:pPr>
      <w:r w:rsidRPr="00866488">
        <w:rPr>
          <w:rFonts w:eastAsiaTheme="minorHAnsi"/>
          <w:color w:val="000000"/>
          <w:lang w:eastAsia="en-US"/>
        </w:rPr>
        <w:t xml:space="preserve">w placówce </w:t>
      </w:r>
      <w:r w:rsidR="00866488" w:rsidRPr="00941A67">
        <w:rPr>
          <w:rFonts w:eastAsiaTheme="minorHAnsi"/>
          <w:lang w:eastAsia="en-US"/>
        </w:rPr>
        <w:t>b</w:t>
      </w:r>
      <w:r w:rsidRPr="00941A67">
        <w:rPr>
          <w:rFonts w:eastAsiaTheme="minorHAnsi"/>
          <w:lang w:eastAsia="en-US"/>
        </w:rPr>
        <w:t>anku</w:t>
      </w:r>
      <w:r w:rsidR="000C5777" w:rsidRPr="00941A67">
        <w:rPr>
          <w:rFonts w:eastAsiaTheme="minorHAnsi"/>
          <w:lang w:eastAsia="en-US"/>
        </w:rPr>
        <w:t xml:space="preserve"> – poprzez złożenie podpisu</w:t>
      </w:r>
      <w:r w:rsidR="00197791" w:rsidRPr="00941A67">
        <w:rPr>
          <w:rFonts w:eastAsiaTheme="minorHAnsi"/>
          <w:lang w:eastAsia="en-US"/>
        </w:rPr>
        <w:t xml:space="preserve"> na wniosku</w:t>
      </w:r>
      <w:r w:rsidR="00C366DF" w:rsidRPr="00941A67">
        <w:rPr>
          <w:rFonts w:eastAsiaTheme="minorHAnsi"/>
          <w:lang w:eastAsia="en-US"/>
        </w:rPr>
        <w:t>;</w:t>
      </w:r>
      <w:r w:rsidRPr="00941A67">
        <w:rPr>
          <w:rFonts w:eastAsiaTheme="minorHAnsi"/>
          <w:lang w:eastAsia="en-US"/>
        </w:rPr>
        <w:t xml:space="preserve"> </w:t>
      </w:r>
    </w:p>
    <w:p w14:paraId="09FCCA8B" w14:textId="33AB7978" w:rsidR="0050626B" w:rsidRPr="00941A67" w:rsidRDefault="0050626B" w:rsidP="0086648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"/>
        <w:jc w:val="both"/>
        <w:rPr>
          <w:rFonts w:eastAsiaTheme="minorHAnsi"/>
          <w:lang w:eastAsia="en-US"/>
        </w:rPr>
      </w:pPr>
      <w:r w:rsidRPr="00941A67">
        <w:rPr>
          <w:rFonts w:eastAsiaTheme="minorHAnsi"/>
          <w:lang w:eastAsia="en-US"/>
        </w:rPr>
        <w:t xml:space="preserve">za pośrednictwem </w:t>
      </w:r>
      <w:r w:rsidR="007D0E3A" w:rsidRPr="00941A67">
        <w:rPr>
          <w:rFonts w:eastAsiaTheme="minorHAnsi"/>
          <w:lang w:eastAsia="en-US"/>
        </w:rPr>
        <w:t xml:space="preserve">bankowości elektronicznej </w:t>
      </w:r>
      <w:r w:rsidR="000C5777" w:rsidRPr="00941A67">
        <w:rPr>
          <w:rFonts w:eastAsiaTheme="minorHAnsi"/>
          <w:lang w:eastAsia="en-US"/>
        </w:rPr>
        <w:t xml:space="preserve">– po dokonaniu autoryzacji przez użytkownika składającego wniosek udostępnionymi przez </w:t>
      </w:r>
      <w:r w:rsidR="00866488" w:rsidRPr="00941A67">
        <w:rPr>
          <w:rFonts w:eastAsiaTheme="minorHAnsi"/>
          <w:lang w:eastAsia="en-US"/>
        </w:rPr>
        <w:t>b</w:t>
      </w:r>
      <w:r w:rsidR="000C5777" w:rsidRPr="00941A67">
        <w:rPr>
          <w:rFonts w:eastAsiaTheme="minorHAnsi"/>
          <w:lang w:eastAsia="en-US"/>
        </w:rPr>
        <w:t xml:space="preserve">ank </w:t>
      </w:r>
      <w:r w:rsidR="00134E61" w:rsidRPr="00941A67">
        <w:rPr>
          <w:rFonts w:eastAsiaTheme="minorHAnsi"/>
          <w:lang w:eastAsia="en-US"/>
        </w:rPr>
        <w:t>indywidualnymi danymi uwierzytelniającymi</w:t>
      </w:r>
      <w:r w:rsidR="00C366DF" w:rsidRPr="00941A67">
        <w:rPr>
          <w:rFonts w:eastAsiaTheme="minorHAnsi"/>
          <w:lang w:eastAsia="en-US"/>
        </w:rPr>
        <w:t>.</w:t>
      </w:r>
      <w:r w:rsidRPr="00941A67">
        <w:rPr>
          <w:rFonts w:eastAsiaTheme="minorHAnsi"/>
          <w:lang w:eastAsia="en-US"/>
        </w:rPr>
        <w:t xml:space="preserve"> </w:t>
      </w:r>
    </w:p>
    <w:p w14:paraId="41F2FF1A" w14:textId="52493CBF" w:rsidR="0003251E" w:rsidRPr="00AF2271" w:rsidRDefault="0003251E" w:rsidP="000325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"/>
        <w:ind w:left="426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Bank może udostępnić Kantor SGB </w:t>
      </w:r>
      <w:r w:rsidRPr="00F023A7">
        <w:rPr>
          <w:rFonts w:eastAsiaTheme="minorHAnsi"/>
          <w:color w:val="000000"/>
          <w:lang w:eastAsia="en-US"/>
        </w:rPr>
        <w:t>użytkownikom</w:t>
      </w:r>
      <w:r w:rsidRPr="00AF2271">
        <w:rPr>
          <w:rFonts w:eastAsiaTheme="minorHAnsi"/>
          <w:color w:val="000000"/>
          <w:lang w:eastAsia="en-US"/>
        </w:rPr>
        <w:t xml:space="preserve"> bez konieczności składania wniosku, o którym mowa w ust. 3; w sytuacji opisanej w zdaniu poprzedzającym </w:t>
      </w:r>
      <w:r w:rsidR="00866488">
        <w:rPr>
          <w:rFonts w:eastAsiaTheme="minorHAnsi"/>
          <w:color w:val="000000"/>
          <w:lang w:eastAsia="en-US"/>
        </w:rPr>
        <w:t>b</w:t>
      </w:r>
      <w:r w:rsidRPr="00AF2271">
        <w:rPr>
          <w:rFonts w:eastAsiaTheme="minorHAnsi"/>
          <w:color w:val="000000"/>
          <w:lang w:eastAsia="en-US"/>
        </w:rPr>
        <w:t xml:space="preserve">ank zamieści informację na stronach internetowych </w:t>
      </w:r>
      <w:r w:rsidR="00866488">
        <w:rPr>
          <w:rFonts w:eastAsiaTheme="minorHAnsi"/>
          <w:color w:val="000000"/>
          <w:lang w:eastAsia="en-US"/>
        </w:rPr>
        <w:t>b</w:t>
      </w:r>
      <w:r w:rsidRPr="00AF2271">
        <w:rPr>
          <w:rFonts w:eastAsiaTheme="minorHAnsi"/>
          <w:color w:val="000000"/>
          <w:lang w:eastAsia="en-US"/>
        </w:rPr>
        <w:t xml:space="preserve">anku. </w:t>
      </w:r>
    </w:p>
    <w:p w14:paraId="223162A9" w14:textId="6876DFD9" w:rsidR="00F73411" w:rsidRPr="00AF2271" w:rsidRDefault="00F73411" w:rsidP="000325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"/>
        <w:ind w:left="426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 Korzystanie z Kantoru SGB </w:t>
      </w:r>
      <w:r w:rsidR="003401CA" w:rsidRPr="00AF2271">
        <w:rPr>
          <w:rFonts w:eastAsiaTheme="minorHAnsi"/>
          <w:color w:val="000000"/>
          <w:lang w:eastAsia="en-US"/>
        </w:rPr>
        <w:t xml:space="preserve">w ramach usług bankowości elektronicznej </w:t>
      </w:r>
      <w:r w:rsidRPr="00AF2271">
        <w:rPr>
          <w:rFonts w:eastAsiaTheme="minorHAnsi"/>
          <w:color w:val="000000"/>
          <w:lang w:eastAsia="en-US"/>
        </w:rPr>
        <w:t>jest możliwe po zalogowaniu</w:t>
      </w:r>
      <w:r w:rsidR="003401CA" w:rsidRPr="00AF2271">
        <w:rPr>
          <w:rFonts w:eastAsiaTheme="minorHAnsi"/>
          <w:color w:val="000000"/>
          <w:lang w:eastAsia="en-US"/>
        </w:rPr>
        <w:t xml:space="preserve"> do systemu przez osoby, o których mowa w ust. 2. </w:t>
      </w:r>
    </w:p>
    <w:p w14:paraId="5BA2BB8B" w14:textId="77777777" w:rsidR="00761CBF" w:rsidRPr="00AF2271" w:rsidRDefault="00761CBF" w:rsidP="008D7FAA">
      <w:pPr>
        <w:pStyle w:val="Tekstpodstawowywcity"/>
        <w:spacing w:before="240" w:after="0"/>
        <w:ind w:left="-142" w:hanging="284"/>
        <w:jc w:val="center"/>
        <w:rPr>
          <w:b/>
          <w:lang w:val="pl-PL"/>
        </w:rPr>
      </w:pPr>
      <w:r w:rsidRPr="00AF2271">
        <w:rPr>
          <w:b/>
          <w:lang w:val="pl-PL"/>
        </w:rPr>
        <w:t xml:space="preserve">Zasady działania </w:t>
      </w:r>
      <w:r w:rsidR="00197791" w:rsidRPr="00AF2271">
        <w:rPr>
          <w:b/>
          <w:lang w:val="pl-PL"/>
        </w:rPr>
        <w:t>K</w:t>
      </w:r>
      <w:r w:rsidRPr="00AF2271">
        <w:rPr>
          <w:b/>
          <w:lang w:val="pl-PL"/>
        </w:rPr>
        <w:t>antoru</w:t>
      </w:r>
      <w:r w:rsidR="00197791" w:rsidRPr="00AF2271">
        <w:rPr>
          <w:b/>
          <w:lang w:val="pl-PL"/>
        </w:rPr>
        <w:t xml:space="preserve"> SGB</w:t>
      </w:r>
    </w:p>
    <w:p w14:paraId="0D01AEA6" w14:textId="77777777" w:rsidR="00914403" w:rsidRPr="00AF2271" w:rsidRDefault="00914403" w:rsidP="008D7FAA">
      <w:pPr>
        <w:pStyle w:val="Tekstpodstawowywcity"/>
        <w:spacing w:before="240" w:after="0"/>
        <w:ind w:left="-142" w:hanging="284"/>
        <w:jc w:val="center"/>
        <w:rPr>
          <w:b/>
          <w:lang w:val="pl-PL"/>
        </w:rPr>
      </w:pPr>
      <w:r w:rsidRPr="00AF2271">
        <w:rPr>
          <w:b/>
          <w:lang w:val="pl-PL"/>
        </w:rPr>
        <w:t>Transakcje realizowane w czasie rzeczywistym</w:t>
      </w:r>
    </w:p>
    <w:p w14:paraId="1495C00B" w14:textId="77777777" w:rsidR="00761CBF" w:rsidRPr="00AF2271" w:rsidRDefault="008D7FAA" w:rsidP="00532A51">
      <w:pPr>
        <w:pStyle w:val="Tekstpodstawowywcity"/>
        <w:spacing w:after="0"/>
        <w:ind w:left="0"/>
        <w:jc w:val="center"/>
        <w:rPr>
          <w:lang w:val="pl-PL"/>
        </w:rPr>
      </w:pPr>
      <w:r w:rsidRPr="00AF2271">
        <w:rPr>
          <w:lang w:val="pl-PL"/>
        </w:rPr>
        <w:t xml:space="preserve">§ </w:t>
      </w:r>
      <w:r w:rsidR="00161D46" w:rsidRPr="00AF2271">
        <w:rPr>
          <w:lang w:val="pl-PL"/>
        </w:rPr>
        <w:t>3</w:t>
      </w:r>
    </w:p>
    <w:p w14:paraId="4FF52024" w14:textId="55DA8A24" w:rsidR="00D54099" w:rsidRPr="00AF2271" w:rsidRDefault="00D54099" w:rsidP="00532A5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023A7">
        <w:rPr>
          <w:rFonts w:eastAsiaTheme="minorHAnsi"/>
          <w:color w:val="000000"/>
          <w:lang w:eastAsia="en-US"/>
        </w:rPr>
        <w:t>Użytkownicy</w:t>
      </w:r>
      <w:r w:rsidRPr="00AF2271">
        <w:rPr>
          <w:rFonts w:eastAsiaTheme="minorHAnsi"/>
          <w:color w:val="000000"/>
          <w:lang w:eastAsia="en-US"/>
        </w:rPr>
        <w:t>, którym udostępniono Kantor SGB mogą korzystać z usługi wymiany walut poprzez rachunki klienta wskazane w</w:t>
      </w:r>
      <w:r w:rsidR="0095304B" w:rsidRPr="00AF2271">
        <w:rPr>
          <w:rFonts w:eastAsiaTheme="minorHAnsi"/>
          <w:color w:val="000000"/>
          <w:lang w:eastAsia="en-US"/>
        </w:rPr>
        <w:t xml:space="preserve"> </w:t>
      </w:r>
      <w:r w:rsidRPr="00AF2271">
        <w:t>§</w:t>
      </w:r>
      <w:r w:rsidR="00CC5E53" w:rsidRPr="00AF2271">
        <w:t xml:space="preserve"> </w:t>
      </w:r>
      <w:r w:rsidRPr="00AF2271">
        <w:t xml:space="preserve">2 </w:t>
      </w:r>
      <w:r w:rsidRPr="00AF2271">
        <w:rPr>
          <w:rFonts w:eastAsiaTheme="minorHAnsi"/>
          <w:color w:val="000000"/>
          <w:lang w:eastAsia="en-US"/>
        </w:rPr>
        <w:t xml:space="preserve">ust. 1 pkt 1 dostępne </w:t>
      </w:r>
      <w:r w:rsidR="00CC5E53" w:rsidRPr="00AF2271">
        <w:rPr>
          <w:rFonts w:eastAsiaTheme="minorHAnsi"/>
          <w:color w:val="000000"/>
          <w:lang w:eastAsia="en-US"/>
        </w:rPr>
        <w:br/>
      </w:r>
      <w:r w:rsidRPr="00AF2271">
        <w:rPr>
          <w:rFonts w:eastAsiaTheme="minorHAnsi"/>
          <w:color w:val="000000"/>
          <w:lang w:eastAsia="en-US"/>
        </w:rPr>
        <w:t xml:space="preserve">w Kantorze SGB, z zastrzeżeniem, iż wymiana walut następuje zawsze pomiędzy rachunkiem </w:t>
      </w:r>
      <w:r w:rsidR="001F7A9F" w:rsidRPr="00AF2271">
        <w:rPr>
          <w:rFonts w:eastAsiaTheme="minorHAnsi"/>
          <w:color w:val="000000"/>
          <w:lang w:eastAsia="en-US"/>
        </w:rPr>
        <w:t xml:space="preserve">prowadzonym </w:t>
      </w:r>
      <w:r w:rsidRPr="00AF2271">
        <w:rPr>
          <w:rFonts w:eastAsiaTheme="minorHAnsi"/>
          <w:color w:val="000000"/>
          <w:lang w:eastAsia="en-US"/>
        </w:rPr>
        <w:t>w złotych a rachunkiem w walucie wymienialnej.</w:t>
      </w:r>
    </w:p>
    <w:p w14:paraId="09DEDD1F" w14:textId="5BCB5E76" w:rsidR="008B3507" w:rsidRPr="00AF2271" w:rsidRDefault="00761CBF" w:rsidP="005616C4">
      <w:pPr>
        <w:pStyle w:val="Tekstpodstawowywcity"/>
        <w:numPr>
          <w:ilvl w:val="0"/>
          <w:numId w:val="14"/>
        </w:numPr>
        <w:spacing w:after="0"/>
        <w:jc w:val="both"/>
        <w:rPr>
          <w:lang w:val="pl-PL"/>
        </w:rPr>
      </w:pPr>
      <w:r w:rsidRPr="00AF2271">
        <w:rPr>
          <w:lang w:val="pl-PL"/>
        </w:rPr>
        <w:t xml:space="preserve">Bank określa </w:t>
      </w:r>
      <w:r w:rsidR="008B3507" w:rsidRPr="00AF2271">
        <w:rPr>
          <w:lang w:val="pl-PL"/>
        </w:rPr>
        <w:t xml:space="preserve">w instrukcji, </w:t>
      </w:r>
      <w:r w:rsidR="008B3507" w:rsidRPr="00AF2271">
        <w:rPr>
          <w:rFonts w:eastAsiaTheme="minorHAnsi"/>
          <w:color w:val="000000"/>
          <w:lang w:val="pl-PL" w:eastAsia="en-US"/>
        </w:rPr>
        <w:t xml:space="preserve">za pośrednictwem strony internetowej </w:t>
      </w:r>
      <w:r w:rsidR="00866488">
        <w:rPr>
          <w:rFonts w:eastAsiaTheme="minorHAnsi"/>
          <w:color w:val="000000"/>
          <w:lang w:val="pl-PL" w:eastAsia="en-US"/>
        </w:rPr>
        <w:t>b</w:t>
      </w:r>
      <w:r w:rsidR="008B3507" w:rsidRPr="00AF2271">
        <w:rPr>
          <w:rFonts w:eastAsiaTheme="minorHAnsi"/>
          <w:color w:val="000000"/>
          <w:lang w:val="pl-PL" w:eastAsia="en-US"/>
        </w:rPr>
        <w:t xml:space="preserve">anku, </w:t>
      </w:r>
      <w:proofErr w:type="spellStart"/>
      <w:r w:rsidR="00CC0217">
        <w:rPr>
          <w:rFonts w:eastAsiaTheme="minorHAnsi"/>
          <w:lang w:val="pl-PL" w:eastAsia="en-US"/>
        </w:rPr>
        <w:t>c</w:t>
      </w:r>
      <w:r w:rsidR="008B3507" w:rsidRPr="00941A67">
        <w:rPr>
          <w:rFonts w:eastAsiaTheme="minorHAnsi"/>
          <w:lang w:val="pl-PL" w:eastAsia="en-US"/>
        </w:rPr>
        <w:t>all</w:t>
      </w:r>
      <w:proofErr w:type="spellEnd"/>
      <w:r w:rsidR="00CC0217">
        <w:rPr>
          <w:rFonts w:eastAsiaTheme="minorHAnsi"/>
          <w:lang w:val="pl-PL" w:eastAsia="en-US"/>
        </w:rPr>
        <w:t xml:space="preserve"> </w:t>
      </w:r>
      <w:proofErr w:type="spellStart"/>
      <w:r w:rsidR="00CC0217">
        <w:rPr>
          <w:rFonts w:eastAsiaTheme="minorHAnsi"/>
          <w:lang w:val="pl-PL" w:eastAsia="en-US"/>
        </w:rPr>
        <w:t>c</w:t>
      </w:r>
      <w:r w:rsidR="008B3507" w:rsidRPr="00941A67">
        <w:rPr>
          <w:rFonts w:eastAsiaTheme="minorHAnsi"/>
          <w:lang w:val="pl-PL" w:eastAsia="en-US"/>
        </w:rPr>
        <w:t>enter</w:t>
      </w:r>
      <w:proofErr w:type="spellEnd"/>
      <w:r w:rsidR="008B3507" w:rsidRPr="00941A67">
        <w:rPr>
          <w:rFonts w:eastAsiaTheme="minorHAnsi"/>
          <w:lang w:val="pl-PL" w:eastAsia="en-US"/>
        </w:rPr>
        <w:t xml:space="preserve"> </w:t>
      </w:r>
      <w:r w:rsidR="008B3507" w:rsidRPr="00AF2271">
        <w:rPr>
          <w:rFonts w:eastAsiaTheme="minorHAnsi"/>
          <w:color w:val="000000"/>
          <w:lang w:val="pl-PL" w:eastAsia="en-US"/>
        </w:rPr>
        <w:t xml:space="preserve">oraz w placówkach </w:t>
      </w:r>
      <w:r w:rsidR="00866488">
        <w:rPr>
          <w:rFonts w:eastAsiaTheme="minorHAnsi"/>
          <w:color w:val="000000"/>
          <w:lang w:val="pl-PL" w:eastAsia="en-US"/>
        </w:rPr>
        <w:t>b</w:t>
      </w:r>
      <w:r w:rsidR="008B3507" w:rsidRPr="00AF2271">
        <w:rPr>
          <w:rFonts w:eastAsiaTheme="minorHAnsi"/>
          <w:color w:val="000000"/>
          <w:lang w:val="pl-PL" w:eastAsia="en-US"/>
        </w:rPr>
        <w:t>anku</w:t>
      </w:r>
      <w:r w:rsidR="008B3507" w:rsidRPr="00AF2271">
        <w:rPr>
          <w:lang w:val="pl-PL"/>
        </w:rPr>
        <w:t>:</w:t>
      </w:r>
    </w:p>
    <w:p w14:paraId="45D5B226" w14:textId="77777777" w:rsidR="004946D0" w:rsidRPr="00AF2271" w:rsidRDefault="00761CBF" w:rsidP="005616C4">
      <w:pPr>
        <w:pStyle w:val="Tekstpodstawowywcity"/>
        <w:numPr>
          <w:ilvl w:val="0"/>
          <w:numId w:val="11"/>
        </w:numPr>
        <w:spacing w:after="0"/>
        <w:ind w:left="993" w:hanging="284"/>
        <w:jc w:val="both"/>
        <w:rPr>
          <w:lang w:val="pl-PL"/>
        </w:rPr>
      </w:pPr>
      <w:r w:rsidRPr="00AF2271">
        <w:rPr>
          <w:lang w:val="pl-PL"/>
        </w:rPr>
        <w:t xml:space="preserve">dostępne </w:t>
      </w:r>
      <w:r w:rsidR="008B3507" w:rsidRPr="00AF2271">
        <w:rPr>
          <w:lang w:val="pl-PL"/>
        </w:rPr>
        <w:t xml:space="preserve">w Kantorze SGB </w:t>
      </w:r>
      <w:r w:rsidR="00914403" w:rsidRPr="00AF2271">
        <w:rPr>
          <w:lang w:val="pl-PL"/>
        </w:rPr>
        <w:t xml:space="preserve">pary </w:t>
      </w:r>
      <w:r w:rsidRPr="00AF2271">
        <w:rPr>
          <w:lang w:val="pl-PL"/>
        </w:rPr>
        <w:t xml:space="preserve">walut, </w:t>
      </w:r>
    </w:p>
    <w:p w14:paraId="32202503" w14:textId="77777777" w:rsidR="004946D0" w:rsidRPr="00AF2271" w:rsidRDefault="00761CBF" w:rsidP="005616C4">
      <w:pPr>
        <w:pStyle w:val="Tekstpodstawowywcity"/>
        <w:numPr>
          <w:ilvl w:val="0"/>
          <w:numId w:val="11"/>
        </w:numPr>
        <w:spacing w:after="0"/>
        <w:ind w:left="993" w:hanging="284"/>
        <w:jc w:val="both"/>
        <w:rPr>
          <w:lang w:val="pl-PL"/>
        </w:rPr>
      </w:pPr>
      <w:r w:rsidRPr="00AF2271">
        <w:rPr>
          <w:lang w:val="pl-PL"/>
        </w:rPr>
        <w:t>dopuszczalne minimalne i maksymalne kwoty pojedynczych transakcji</w:t>
      </w:r>
      <w:r w:rsidR="00694A00" w:rsidRPr="00AF2271">
        <w:rPr>
          <w:lang w:val="pl-PL"/>
        </w:rPr>
        <w:t>,</w:t>
      </w:r>
      <w:r w:rsidRPr="00AF2271">
        <w:rPr>
          <w:lang w:val="pl-PL"/>
        </w:rPr>
        <w:t xml:space="preserve"> </w:t>
      </w:r>
    </w:p>
    <w:p w14:paraId="1638A954" w14:textId="77777777" w:rsidR="005616C4" w:rsidRDefault="005616C4" w:rsidP="005616C4">
      <w:pPr>
        <w:pStyle w:val="Tekstpodstawowywcity"/>
        <w:numPr>
          <w:ilvl w:val="0"/>
          <w:numId w:val="11"/>
        </w:numPr>
        <w:spacing w:after="0"/>
        <w:ind w:left="993" w:hanging="284"/>
        <w:jc w:val="both"/>
        <w:rPr>
          <w:lang w:val="pl-PL"/>
        </w:rPr>
      </w:pPr>
      <w:r w:rsidRPr="00AF2271">
        <w:rPr>
          <w:lang w:val="pl-PL"/>
        </w:rPr>
        <w:lastRenderedPageBreak/>
        <w:t>dopuszczalne maksymalne kwoty dziennych limitów transakcji na rachunkach,</w:t>
      </w:r>
    </w:p>
    <w:p w14:paraId="16C4A8B3" w14:textId="51B2AD88" w:rsidR="008B3507" w:rsidRPr="00941A67" w:rsidRDefault="00761CBF" w:rsidP="00941A67">
      <w:pPr>
        <w:pStyle w:val="Tekstpodstawowywcity"/>
        <w:numPr>
          <w:ilvl w:val="0"/>
          <w:numId w:val="11"/>
        </w:numPr>
        <w:spacing w:after="0"/>
        <w:ind w:left="993" w:hanging="284"/>
        <w:jc w:val="both"/>
        <w:rPr>
          <w:lang w:val="pl-PL"/>
        </w:rPr>
      </w:pPr>
      <w:r w:rsidRPr="00941A67">
        <w:rPr>
          <w:lang w:val="pl-PL"/>
        </w:rPr>
        <w:t xml:space="preserve">dni i godziny zawierania transakcji </w:t>
      </w:r>
      <w:r w:rsidR="004946D0" w:rsidRPr="00941A67">
        <w:rPr>
          <w:lang w:val="pl-PL"/>
        </w:rPr>
        <w:t xml:space="preserve">oraz składania zleceń transakcji zawieranych </w:t>
      </w:r>
      <w:r w:rsidR="00CC5E53" w:rsidRPr="00941A67">
        <w:rPr>
          <w:lang w:val="pl-PL"/>
        </w:rPr>
        <w:br/>
      </w:r>
      <w:r w:rsidR="004946D0" w:rsidRPr="00941A67">
        <w:rPr>
          <w:lang w:val="pl-PL"/>
        </w:rPr>
        <w:t>w przyszłości</w:t>
      </w:r>
      <w:r w:rsidR="006A3E06" w:rsidRPr="00941A67">
        <w:rPr>
          <w:lang w:val="pl-PL"/>
        </w:rPr>
        <w:t xml:space="preserve">; Kantor SGB jest dostępny w dni robocze w godzinach od </w:t>
      </w:r>
      <w:r w:rsidR="00AA716B">
        <w:rPr>
          <w:lang w:val="pl-PL"/>
        </w:rPr>
        <w:t>8</w:t>
      </w:r>
      <w:r w:rsidR="00941A67">
        <w:rPr>
          <w:lang w:val="pl-PL"/>
        </w:rPr>
        <w:t>:</w:t>
      </w:r>
      <w:r w:rsidR="006A3E06" w:rsidRPr="00941A67">
        <w:rPr>
          <w:lang w:val="pl-PL"/>
        </w:rPr>
        <w:t>00 do 1</w:t>
      </w:r>
      <w:r w:rsidR="00AA716B">
        <w:rPr>
          <w:lang w:val="pl-PL"/>
        </w:rPr>
        <w:t>7</w:t>
      </w:r>
      <w:r w:rsidR="00941A67">
        <w:rPr>
          <w:lang w:val="pl-PL"/>
        </w:rPr>
        <w:t>:</w:t>
      </w:r>
      <w:r w:rsidR="00AA716B">
        <w:rPr>
          <w:lang w:val="pl-PL"/>
        </w:rPr>
        <w:t>0</w:t>
      </w:r>
      <w:r w:rsidR="006A3E06" w:rsidRPr="00941A67">
        <w:rPr>
          <w:lang w:val="pl-PL"/>
        </w:rPr>
        <w:t>0</w:t>
      </w:r>
      <w:r w:rsidR="00F3743F" w:rsidRPr="00941A67">
        <w:rPr>
          <w:lang w:val="pl-PL"/>
        </w:rPr>
        <w:t>; Bank może udostępnić usługę w inne dni oraz wydłużyć godziny oferowani</w:t>
      </w:r>
      <w:r w:rsidR="0008539B" w:rsidRPr="00941A67">
        <w:rPr>
          <w:lang w:val="pl-PL"/>
        </w:rPr>
        <w:t>a</w:t>
      </w:r>
      <w:r w:rsidR="00F3743F" w:rsidRPr="00941A67">
        <w:rPr>
          <w:lang w:val="pl-PL"/>
        </w:rPr>
        <w:t xml:space="preserve"> usługi o czym poinformuje na stronach internetowych </w:t>
      </w:r>
      <w:r w:rsidR="00866488" w:rsidRPr="00941A67">
        <w:rPr>
          <w:lang w:val="pl-PL"/>
        </w:rPr>
        <w:t>b</w:t>
      </w:r>
      <w:r w:rsidR="00F3743F" w:rsidRPr="00941A67">
        <w:rPr>
          <w:lang w:val="pl-PL"/>
        </w:rPr>
        <w:t>anku</w:t>
      </w:r>
      <w:r w:rsidR="004946D0" w:rsidRPr="00941A67">
        <w:rPr>
          <w:lang w:val="pl-PL"/>
        </w:rPr>
        <w:t xml:space="preserve">. </w:t>
      </w:r>
    </w:p>
    <w:p w14:paraId="1188A2D0" w14:textId="30B0D585" w:rsidR="00024AF9" w:rsidRPr="00AF2271" w:rsidRDefault="00024AF9" w:rsidP="00024AF9">
      <w:pPr>
        <w:pStyle w:val="Tekstpodstawowywcity"/>
        <w:numPr>
          <w:ilvl w:val="0"/>
          <w:numId w:val="14"/>
        </w:numPr>
        <w:spacing w:after="0"/>
        <w:jc w:val="both"/>
        <w:rPr>
          <w:lang w:val="pl-PL"/>
        </w:rPr>
      </w:pPr>
      <w:r w:rsidRPr="00AF2271">
        <w:rPr>
          <w:lang w:val="pl-PL"/>
        </w:rPr>
        <w:t xml:space="preserve">Limity </w:t>
      </w:r>
      <w:r w:rsidRPr="00AF2271">
        <w:t xml:space="preserve">pojedynczej </w:t>
      </w:r>
      <w:r w:rsidR="003137FC" w:rsidRPr="00AF2271">
        <w:rPr>
          <w:lang w:val="pl-PL"/>
        </w:rPr>
        <w:t>transakcji wymiany walut</w:t>
      </w:r>
      <w:r w:rsidR="003137FC" w:rsidRPr="00AF2271">
        <w:t xml:space="preserve"> </w:t>
      </w:r>
      <w:r w:rsidRPr="00AF2271">
        <w:t xml:space="preserve">oraz limity wszystkich </w:t>
      </w:r>
      <w:r w:rsidR="003137FC" w:rsidRPr="00AF2271">
        <w:rPr>
          <w:lang w:val="pl-PL"/>
        </w:rPr>
        <w:t xml:space="preserve">ww. transakcji </w:t>
      </w:r>
      <w:r w:rsidR="00CC5E53" w:rsidRPr="00AF2271">
        <w:rPr>
          <w:lang w:val="pl-PL"/>
        </w:rPr>
        <w:br/>
      </w:r>
      <w:r w:rsidRPr="00AF2271">
        <w:t>w ciągu dnia</w:t>
      </w:r>
      <w:r w:rsidRPr="00AF2271">
        <w:rPr>
          <w:lang w:val="pl-PL"/>
        </w:rPr>
        <w:t xml:space="preserve"> </w:t>
      </w:r>
      <w:r w:rsidR="002F6AB5" w:rsidRPr="00AF2271">
        <w:rPr>
          <w:lang w:val="pl-PL"/>
        </w:rPr>
        <w:t xml:space="preserve">w Kantorze SGB </w:t>
      </w:r>
      <w:r w:rsidRPr="00AF2271">
        <w:rPr>
          <w:lang w:val="pl-PL"/>
        </w:rPr>
        <w:t xml:space="preserve">są niezależne od limitów ustalonych dla rachunków </w:t>
      </w:r>
      <w:r w:rsidR="002F6AB5" w:rsidRPr="00AF2271">
        <w:rPr>
          <w:lang w:val="pl-PL"/>
        </w:rPr>
        <w:t>dla transakcji realizowanych za pośrednictwem bankowości elektronicznej</w:t>
      </w:r>
      <w:r w:rsidRPr="00AF2271">
        <w:rPr>
          <w:lang w:val="pl-PL"/>
        </w:rPr>
        <w:t>.</w:t>
      </w:r>
    </w:p>
    <w:p w14:paraId="41DAB97D" w14:textId="23F3BE98" w:rsidR="00024AF9" w:rsidRPr="00AF2271" w:rsidRDefault="00024AF9" w:rsidP="005616C4">
      <w:pPr>
        <w:pStyle w:val="Tekstpodstawowywcity"/>
        <w:numPr>
          <w:ilvl w:val="0"/>
          <w:numId w:val="14"/>
        </w:numPr>
        <w:spacing w:after="0"/>
        <w:jc w:val="both"/>
        <w:rPr>
          <w:lang w:val="pl-PL"/>
        </w:rPr>
      </w:pPr>
      <w:r w:rsidRPr="00AF2271">
        <w:rPr>
          <w:lang w:val="pl-PL"/>
        </w:rPr>
        <w:t xml:space="preserve">Dla transakcji </w:t>
      </w:r>
      <w:r w:rsidR="00F1663A" w:rsidRPr="00AF2271">
        <w:rPr>
          <w:lang w:val="pl-PL"/>
        </w:rPr>
        <w:t>kupna</w:t>
      </w:r>
      <w:r w:rsidR="008B52A2" w:rsidRPr="00AF2271">
        <w:rPr>
          <w:lang w:val="pl-PL"/>
        </w:rPr>
        <w:t xml:space="preserve"> </w:t>
      </w:r>
      <w:r w:rsidRPr="00AF2271">
        <w:rPr>
          <w:lang w:val="pl-PL"/>
        </w:rPr>
        <w:t>realizowanych w Kantorze SGB</w:t>
      </w:r>
      <w:r w:rsidR="00CC0217" w:rsidRPr="00CC0217">
        <w:rPr>
          <w:lang w:val="pl-PL"/>
        </w:rPr>
        <w:t xml:space="preserve"> </w:t>
      </w:r>
      <w:r w:rsidR="00CC0217" w:rsidRPr="0063738C">
        <w:rPr>
          <w:lang w:val="pl-PL"/>
        </w:rPr>
        <w:t>w bankowości internetowej i bankowości mobilnej</w:t>
      </w:r>
      <w:r w:rsidRPr="00AF2271">
        <w:rPr>
          <w:lang w:val="pl-PL"/>
        </w:rPr>
        <w:t xml:space="preserve"> obowiązują </w:t>
      </w:r>
      <w:r w:rsidR="00197791" w:rsidRPr="00941A67">
        <w:rPr>
          <w:lang w:val="pl-PL"/>
        </w:rPr>
        <w:t xml:space="preserve">wartości </w:t>
      </w:r>
      <w:r w:rsidRPr="00941A67">
        <w:t>standardow</w:t>
      </w:r>
      <w:r w:rsidRPr="00941A67">
        <w:rPr>
          <w:lang w:val="pl-PL"/>
        </w:rPr>
        <w:t>ych</w:t>
      </w:r>
      <w:r w:rsidRPr="00941A67">
        <w:t xml:space="preserve"> limit</w:t>
      </w:r>
      <w:r w:rsidR="00FA4713" w:rsidRPr="00941A67">
        <w:rPr>
          <w:lang w:val="pl-PL"/>
        </w:rPr>
        <w:t>ów</w:t>
      </w:r>
      <w:r w:rsidRPr="00941A67">
        <w:t xml:space="preserve"> pojedynczej operacji oraz limit</w:t>
      </w:r>
      <w:r w:rsidR="008935D5" w:rsidRPr="00941A67">
        <w:rPr>
          <w:lang w:val="pl-PL"/>
        </w:rPr>
        <w:t>y</w:t>
      </w:r>
      <w:r w:rsidRPr="00941A67">
        <w:t xml:space="preserve"> wszystkich operacji w ciągu dnia</w:t>
      </w:r>
      <w:r w:rsidRPr="00941A67">
        <w:rPr>
          <w:lang w:val="pl-PL"/>
        </w:rPr>
        <w:t xml:space="preserve">, </w:t>
      </w:r>
      <w:r w:rsidRPr="00AF2271">
        <w:rPr>
          <w:lang w:val="pl-PL"/>
        </w:rPr>
        <w:t>wskazan</w:t>
      </w:r>
      <w:r w:rsidR="00636B93" w:rsidRPr="00AF2271">
        <w:rPr>
          <w:lang w:val="pl-PL"/>
        </w:rPr>
        <w:t>e</w:t>
      </w:r>
      <w:r w:rsidRPr="00AF2271">
        <w:rPr>
          <w:lang w:val="pl-PL"/>
        </w:rPr>
        <w:t xml:space="preserve"> </w:t>
      </w:r>
      <w:r w:rsidRPr="00F023A7">
        <w:rPr>
          <w:lang w:val="pl-PL"/>
        </w:rPr>
        <w:t xml:space="preserve">w </w:t>
      </w:r>
      <w:r w:rsidR="000E53B3" w:rsidRPr="00322981">
        <w:t>§</w:t>
      </w:r>
      <w:r w:rsidR="000E53B3" w:rsidRPr="00322981">
        <w:rPr>
          <w:lang w:val="pl-PL"/>
        </w:rPr>
        <w:t xml:space="preserve"> 11</w:t>
      </w:r>
      <w:r w:rsidR="00CC0217">
        <w:rPr>
          <w:lang w:val="pl-PL"/>
        </w:rPr>
        <w:t>;</w:t>
      </w:r>
      <w:r w:rsidR="00CC0217" w:rsidRPr="00CC0217">
        <w:rPr>
          <w:lang w:eastAsia="pl-PL"/>
        </w:rPr>
        <w:t xml:space="preserve"> </w:t>
      </w:r>
      <w:r w:rsidR="00CC0217" w:rsidRPr="0063738C">
        <w:rPr>
          <w:lang w:eastAsia="pl-PL"/>
        </w:rPr>
        <w:t>Limity, o których mowa w zdaniu poprzednim, są limitami wspólnymi dla transakcji wymiany walut dokonywanych w bankowości internetowej jak i w bankowości mobilnej</w:t>
      </w:r>
      <w:r w:rsidR="00CC0217" w:rsidRPr="0063738C">
        <w:rPr>
          <w:lang w:val="pl-PL"/>
        </w:rPr>
        <w:t>.</w:t>
      </w:r>
      <w:r w:rsidR="00CC0217" w:rsidRPr="00606BB9">
        <w:rPr>
          <w:lang w:val="pl-PL"/>
        </w:rPr>
        <w:t xml:space="preserve"> </w:t>
      </w:r>
      <w:r w:rsidR="0081762F" w:rsidRPr="00AF2271">
        <w:rPr>
          <w:lang w:val="pl-PL"/>
        </w:rPr>
        <w:t xml:space="preserve"> </w:t>
      </w:r>
    </w:p>
    <w:p w14:paraId="226051F3" w14:textId="77777777" w:rsidR="00761CBF" w:rsidRPr="00AF2271" w:rsidRDefault="008D7FAA" w:rsidP="004946D0">
      <w:pPr>
        <w:autoSpaceDE w:val="0"/>
        <w:autoSpaceDN w:val="0"/>
        <w:adjustRightInd w:val="0"/>
        <w:spacing w:after="8"/>
        <w:jc w:val="center"/>
      </w:pPr>
      <w:r w:rsidRPr="00AF2271">
        <w:t xml:space="preserve">§ </w:t>
      </w:r>
      <w:r w:rsidR="00161D46" w:rsidRPr="00AF2271">
        <w:t>4</w:t>
      </w:r>
    </w:p>
    <w:p w14:paraId="64349697" w14:textId="77777777" w:rsidR="00761CBF" w:rsidRPr="00AF2271" w:rsidRDefault="00761CBF" w:rsidP="008B3507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lang w:val="pl-PL"/>
        </w:rPr>
      </w:pPr>
      <w:r w:rsidRPr="00AF2271">
        <w:rPr>
          <w:lang w:val="pl-PL"/>
        </w:rPr>
        <w:t xml:space="preserve">Warunkiem </w:t>
      </w:r>
      <w:r w:rsidR="00FD3D75" w:rsidRPr="00AF2271">
        <w:rPr>
          <w:lang w:val="pl-PL"/>
        </w:rPr>
        <w:t xml:space="preserve">przeprowadzenia </w:t>
      </w:r>
      <w:r w:rsidRPr="00AF2271">
        <w:rPr>
          <w:lang w:val="pl-PL"/>
        </w:rPr>
        <w:t xml:space="preserve">transakcji </w:t>
      </w:r>
      <w:r w:rsidR="00636B93" w:rsidRPr="00AF2271">
        <w:rPr>
          <w:lang w:val="pl-PL"/>
        </w:rPr>
        <w:t xml:space="preserve">wymiany walut </w:t>
      </w:r>
      <w:r w:rsidRPr="00AF2271">
        <w:rPr>
          <w:lang w:val="pl-PL"/>
        </w:rPr>
        <w:t xml:space="preserve">w </w:t>
      </w:r>
      <w:r w:rsidR="00FD3D75" w:rsidRPr="00AF2271">
        <w:rPr>
          <w:lang w:val="pl-PL"/>
        </w:rPr>
        <w:t>K</w:t>
      </w:r>
      <w:r w:rsidRPr="00AF2271">
        <w:rPr>
          <w:lang w:val="pl-PL"/>
        </w:rPr>
        <w:t xml:space="preserve">antorze </w:t>
      </w:r>
      <w:r w:rsidR="00FD3D75" w:rsidRPr="00AF2271">
        <w:rPr>
          <w:lang w:val="pl-PL"/>
        </w:rPr>
        <w:t xml:space="preserve">SGB </w:t>
      </w:r>
      <w:r w:rsidRPr="00AF2271">
        <w:rPr>
          <w:lang w:val="pl-PL"/>
        </w:rPr>
        <w:t>jest</w:t>
      </w:r>
      <w:r w:rsidR="00FD3D75" w:rsidRPr="00AF2271">
        <w:rPr>
          <w:lang w:val="pl-PL"/>
        </w:rPr>
        <w:t xml:space="preserve"> posiadanie przez klienta</w:t>
      </w:r>
      <w:r w:rsidRPr="00AF2271">
        <w:rPr>
          <w:lang w:val="pl-PL"/>
        </w:rPr>
        <w:t xml:space="preserve">: </w:t>
      </w:r>
    </w:p>
    <w:p w14:paraId="50820B5A" w14:textId="485C8EF1" w:rsidR="00761CBF" w:rsidRPr="00AF2271" w:rsidRDefault="00761CBF" w:rsidP="008B3507">
      <w:pPr>
        <w:pStyle w:val="Tekstpodstawowywcity"/>
        <w:spacing w:after="0"/>
        <w:ind w:left="567" w:hanging="284"/>
        <w:jc w:val="both"/>
        <w:rPr>
          <w:lang w:val="pl-PL"/>
        </w:rPr>
      </w:pPr>
      <w:r w:rsidRPr="00AF2271">
        <w:rPr>
          <w:lang w:val="pl-PL"/>
        </w:rPr>
        <w:t xml:space="preserve">1) dwóch rachunków, których </w:t>
      </w:r>
      <w:r w:rsidR="00866488">
        <w:rPr>
          <w:lang w:val="pl-PL"/>
        </w:rPr>
        <w:t>k</w:t>
      </w:r>
      <w:r w:rsidRPr="00AF2271">
        <w:rPr>
          <w:lang w:val="pl-PL"/>
        </w:rPr>
        <w:t xml:space="preserve">lient jest </w:t>
      </w:r>
      <w:r w:rsidR="00A51859" w:rsidRPr="00AF2271">
        <w:rPr>
          <w:lang w:val="pl-PL"/>
        </w:rPr>
        <w:t>posiadaczem</w:t>
      </w:r>
      <w:r w:rsidRPr="00AF2271">
        <w:rPr>
          <w:lang w:val="pl-PL"/>
        </w:rPr>
        <w:t>, współ</w:t>
      </w:r>
      <w:r w:rsidR="00A51859" w:rsidRPr="00AF2271">
        <w:rPr>
          <w:lang w:val="pl-PL"/>
        </w:rPr>
        <w:t>posiadaczem</w:t>
      </w:r>
      <w:r w:rsidRPr="00AF2271">
        <w:rPr>
          <w:lang w:val="pl-PL"/>
        </w:rPr>
        <w:t xml:space="preserve">, przy czym każdy z tych rachunków powinien być prowadzony w walucie właściwej dla transakcji zawieranej przez </w:t>
      </w:r>
      <w:r w:rsidR="002F0565" w:rsidRPr="00AF2271">
        <w:rPr>
          <w:lang w:val="pl-PL"/>
        </w:rPr>
        <w:t>k</w:t>
      </w:r>
      <w:r w:rsidRPr="00AF2271">
        <w:rPr>
          <w:lang w:val="pl-PL"/>
        </w:rPr>
        <w:t>lienta</w:t>
      </w:r>
      <w:r w:rsidR="00CC5E53" w:rsidRPr="00AF2271">
        <w:rPr>
          <w:lang w:val="pl-PL"/>
        </w:rPr>
        <w:t>;</w:t>
      </w:r>
      <w:r w:rsidRPr="00AF2271">
        <w:rPr>
          <w:lang w:val="pl-PL"/>
        </w:rPr>
        <w:t xml:space="preserve"> </w:t>
      </w:r>
    </w:p>
    <w:p w14:paraId="27FA5623" w14:textId="77777777" w:rsidR="000C5777" w:rsidRPr="00AF2271" w:rsidRDefault="00761CBF" w:rsidP="008B3507">
      <w:pPr>
        <w:pStyle w:val="Tekstpodstawowywcity"/>
        <w:spacing w:after="0"/>
        <w:ind w:left="567" w:hanging="284"/>
        <w:jc w:val="both"/>
        <w:rPr>
          <w:lang w:val="pl-PL"/>
        </w:rPr>
      </w:pPr>
      <w:r w:rsidRPr="00AF2271">
        <w:rPr>
          <w:lang w:val="pl-PL"/>
        </w:rPr>
        <w:t>2) wymaganej ilości środków pieniężnych do rozliczenia transakcji na rachunku, który jest obciążany.</w:t>
      </w:r>
    </w:p>
    <w:p w14:paraId="49C73968" w14:textId="77777777" w:rsidR="00761CBF" w:rsidRPr="00AF2271" w:rsidRDefault="000C5777" w:rsidP="008B3507">
      <w:pPr>
        <w:pStyle w:val="Tekstpodstawowywcity"/>
        <w:numPr>
          <w:ilvl w:val="0"/>
          <w:numId w:val="6"/>
        </w:numPr>
        <w:spacing w:after="0"/>
        <w:ind w:left="284" w:hanging="218"/>
        <w:jc w:val="both"/>
        <w:rPr>
          <w:lang w:val="pl-PL"/>
        </w:rPr>
      </w:pPr>
      <w:r w:rsidRPr="00AF2271">
        <w:rPr>
          <w:lang w:val="pl-PL"/>
        </w:rPr>
        <w:t>W przypadku, gdy rachunkiem służącym do rozliczenia transakcji jest rachunek wspólny - wówczas zawarcie transakcji z jego wykorzystaniem może nastąpić</w:t>
      </w:r>
      <w:r w:rsidRPr="00AF2271">
        <w:rPr>
          <w:rFonts w:eastAsiaTheme="minorHAnsi"/>
          <w:color w:val="000000"/>
          <w:lang w:eastAsia="en-US"/>
        </w:rPr>
        <w:t xml:space="preserve"> wyłącznie przez tego współposiadacza rachunku, który uruchomił usługę (każdy ze współposiadaczy musi wystąpić z wnioskiem o udostępnienie usługi) lub pełnomocnika stałego.</w:t>
      </w:r>
      <w:r w:rsidR="00761CBF" w:rsidRPr="00AF2271">
        <w:rPr>
          <w:lang w:val="pl-PL"/>
        </w:rPr>
        <w:t xml:space="preserve"> </w:t>
      </w:r>
    </w:p>
    <w:p w14:paraId="7AF22990" w14:textId="77777777" w:rsidR="00761CBF" w:rsidRPr="00AF2271" w:rsidRDefault="00761CBF" w:rsidP="00532A51">
      <w:pPr>
        <w:pStyle w:val="Tekstpodstawowywcity"/>
        <w:spacing w:after="0"/>
        <w:ind w:left="-142" w:hanging="284"/>
        <w:jc w:val="center"/>
        <w:rPr>
          <w:lang w:val="pl-PL"/>
        </w:rPr>
      </w:pPr>
      <w:r w:rsidRPr="00AF2271">
        <w:rPr>
          <w:lang w:val="pl-PL"/>
        </w:rPr>
        <w:t xml:space="preserve">§ </w:t>
      </w:r>
      <w:r w:rsidR="00161D46" w:rsidRPr="00AF2271">
        <w:rPr>
          <w:lang w:val="pl-PL"/>
        </w:rPr>
        <w:t>5</w:t>
      </w:r>
    </w:p>
    <w:p w14:paraId="373170E6" w14:textId="77777777" w:rsidR="00761CBF" w:rsidRPr="00AF2271" w:rsidRDefault="00761CBF" w:rsidP="00532A51">
      <w:pPr>
        <w:pStyle w:val="Tekstpodstawowywcity"/>
        <w:numPr>
          <w:ilvl w:val="0"/>
          <w:numId w:val="7"/>
        </w:numPr>
        <w:spacing w:after="0"/>
        <w:ind w:left="426"/>
        <w:jc w:val="both"/>
        <w:rPr>
          <w:lang w:val="pl-PL"/>
        </w:rPr>
      </w:pPr>
      <w:r w:rsidRPr="00AF2271">
        <w:rPr>
          <w:lang w:val="pl-PL"/>
        </w:rPr>
        <w:t xml:space="preserve">Klient zawierając transakcję </w:t>
      </w:r>
      <w:r w:rsidR="00636B93" w:rsidRPr="00AF2271">
        <w:rPr>
          <w:lang w:val="pl-PL"/>
        </w:rPr>
        <w:t xml:space="preserve">wymiany walut w Kantorze SGB </w:t>
      </w:r>
      <w:r w:rsidRPr="00AF2271">
        <w:rPr>
          <w:lang w:val="pl-PL"/>
        </w:rPr>
        <w:t xml:space="preserve">określa następujące warunki: </w:t>
      </w:r>
    </w:p>
    <w:p w14:paraId="7EC4FD7E" w14:textId="77777777" w:rsidR="00761CBF" w:rsidRPr="00AF2271" w:rsidRDefault="00761CBF" w:rsidP="008B3507">
      <w:pPr>
        <w:pStyle w:val="Tekstpodstawowywcity"/>
        <w:spacing w:after="0"/>
        <w:ind w:left="426"/>
        <w:jc w:val="both"/>
        <w:rPr>
          <w:lang w:val="pl-PL"/>
        </w:rPr>
      </w:pPr>
      <w:r w:rsidRPr="00AF2271">
        <w:rPr>
          <w:lang w:val="pl-PL"/>
        </w:rPr>
        <w:t>1) rodzaj transakcji (kupno/sprzedaż)</w:t>
      </w:r>
      <w:r w:rsidR="00CC5E53" w:rsidRPr="00AF2271">
        <w:rPr>
          <w:lang w:val="pl-PL"/>
        </w:rPr>
        <w:t>;</w:t>
      </w:r>
      <w:r w:rsidRPr="00AF2271">
        <w:rPr>
          <w:lang w:val="pl-PL"/>
        </w:rPr>
        <w:t xml:space="preserve"> </w:t>
      </w:r>
    </w:p>
    <w:p w14:paraId="663DD816" w14:textId="77777777" w:rsidR="00761CBF" w:rsidRPr="00AF2271" w:rsidRDefault="00761CBF" w:rsidP="008B3507">
      <w:pPr>
        <w:pStyle w:val="Tekstpodstawowywcity"/>
        <w:spacing w:after="0"/>
        <w:ind w:left="426"/>
        <w:jc w:val="both"/>
        <w:rPr>
          <w:lang w:val="pl-PL"/>
        </w:rPr>
      </w:pPr>
      <w:r w:rsidRPr="00AF2271">
        <w:rPr>
          <w:lang w:val="pl-PL"/>
        </w:rPr>
        <w:t>2) kwotę transakcji</w:t>
      </w:r>
      <w:r w:rsidR="00CC5E53" w:rsidRPr="00AF2271">
        <w:rPr>
          <w:lang w:val="pl-PL"/>
        </w:rPr>
        <w:t>;</w:t>
      </w:r>
      <w:r w:rsidRPr="00AF2271">
        <w:rPr>
          <w:lang w:val="pl-PL"/>
        </w:rPr>
        <w:t xml:space="preserve"> </w:t>
      </w:r>
    </w:p>
    <w:p w14:paraId="6D97B402" w14:textId="77777777" w:rsidR="00761CBF" w:rsidRPr="00AF2271" w:rsidRDefault="00761CBF" w:rsidP="00197791">
      <w:pPr>
        <w:pStyle w:val="Tekstpodstawowywcity"/>
        <w:spacing w:after="0"/>
        <w:ind w:left="709" w:hanging="283"/>
        <w:jc w:val="both"/>
        <w:rPr>
          <w:lang w:val="pl-PL"/>
        </w:rPr>
      </w:pPr>
      <w:r w:rsidRPr="00AF2271">
        <w:rPr>
          <w:lang w:val="pl-PL"/>
        </w:rPr>
        <w:t xml:space="preserve">3) parę walutową transakcji (walutę kupowaną i walutę sprzedawaną), </w:t>
      </w:r>
      <w:r w:rsidR="00197791" w:rsidRPr="00AF2271">
        <w:rPr>
          <w:lang w:val="pl-PL"/>
        </w:rPr>
        <w:t xml:space="preserve">z zastrzeżeniem iż </w:t>
      </w:r>
      <w:r w:rsidR="00197791" w:rsidRPr="00AF2271">
        <w:rPr>
          <w:rFonts w:eastAsiaTheme="minorHAnsi"/>
          <w:color w:val="000000"/>
          <w:lang w:eastAsia="en-US"/>
        </w:rPr>
        <w:t xml:space="preserve">wymiana walut następuje zawsze pomiędzy rachunkiem w złotych a rachunkiem </w:t>
      </w:r>
      <w:r w:rsidR="00CC5E53" w:rsidRPr="00AF2271">
        <w:rPr>
          <w:rFonts w:eastAsiaTheme="minorHAnsi"/>
          <w:color w:val="000000"/>
          <w:lang w:eastAsia="en-US"/>
        </w:rPr>
        <w:br/>
      </w:r>
      <w:r w:rsidR="00197791" w:rsidRPr="00AF2271">
        <w:rPr>
          <w:rFonts w:eastAsiaTheme="minorHAnsi"/>
          <w:color w:val="000000"/>
          <w:lang w:eastAsia="en-US"/>
        </w:rPr>
        <w:t>w walucie wymienialnej</w:t>
      </w:r>
      <w:r w:rsidR="00CC5E53" w:rsidRPr="00AF2271">
        <w:rPr>
          <w:rFonts w:eastAsiaTheme="minorHAnsi"/>
          <w:color w:val="000000"/>
          <w:lang w:val="pl-PL" w:eastAsia="en-US"/>
        </w:rPr>
        <w:t>;</w:t>
      </w:r>
    </w:p>
    <w:p w14:paraId="6FE19FC5" w14:textId="77777777" w:rsidR="00761CBF" w:rsidRPr="00AF2271" w:rsidRDefault="00761CBF" w:rsidP="008B3507">
      <w:pPr>
        <w:pStyle w:val="Tekstpodstawowywcity"/>
        <w:spacing w:after="0"/>
        <w:ind w:left="426"/>
        <w:jc w:val="both"/>
        <w:rPr>
          <w:lang w:val="pl-PL"/>
        </w:rPr>
      </w:pPr>
      <w:r w:rsidRPr="00AF2271">
        <w:rPr>
          <w:lang w:val="pl-PL"/>
        </w:rPr>
        <w:t>4) rachunki do rozliczenia transakcji</w:t>
      </w:r>
      <w:r w:rsidR="00197791" w:rsidRPr="00AF2271">
        <w:rPr>
          <w:lang w:val="pl-PL"/>
        </w:rPr>
        <w:t>.</w:t>
      </w:r>
    </w:p>
    <w:p w14:paraId="3DBB29E6" w14:textId="1E1F67C0" w:rsidR="00761CBF" w:rsidRPr="00AF2271" w:rsidRDefault="00761CBF" w:rsidP="00B14C8A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lang w:val="pl-PL"/>
        </w:rPr>
      </w:pPr>
      <w:r w:rsidRPr="00AF2271">
        <w:rPr>
          <w:lang w:val="pl-PL"/>
        </w:rPr>
        <w:t xml:space="preserve">Przed zawarciem transakcji </w:t>
      </w:r>
      <w:r w:rsidR="00636B93" w:rsidRPr="00AF2271">
        <w:rPr>
          <w:lang w:val="pl-PL"/>
        </w:rPr>
        <w:t xml:space="preserve">w Kantorze SGB </w:t>
      </w:r>
      <w:r w:rsidR="00866488">
        <w:rPr>
          <w:lang w:val="pl-PL"/>
        </w:rPr>
        <w:t>k</w:t>
      </w:r>
      <w:r w:rsidRPr="00AF2271">
        <w:rPr>
          <w:lang w:val="pl-PL"/>
        </w:rPr>
        <w:t xml:space="preserve">lient ma możliwość zapoznania się </w:t>
      </w:r>
      <w:r w:rsidR="000F6DA3" w:rsidRPr="00AF2271">
        <w:rPr>
          <w:lang w:val="pl-PL"/>
        </w:rPr>
        <w:t xml:space="preserve">na ekranie urządzenia </w:t>
      </w:r>
      <w:r w:rsidRPr="00AF2271">
        <w:rPr>
          <w:lang w:val="pl-PL"/>
        </w:rPr>
        <w:t>z kursem walutowym dla danej pary walutowej, po którym może zawrzeć transakcję</w:t>
      </w:r>
      <w:r w:rsidR="00197791" w:rsidRPr="00AF2271">
        <w:rPr>
          <w:lang w:val="pl-PL"/>
        </w:rPr>
        <w:t xml:space="preserve">; </w:t>
      </w:r>
      <w:r w:rsidRPr="00AF2271">
        <w:rPr>
          <w:lang w:val="pl-PL"/>
        </w:rPr>
        <w:t xml:space="preserve">dla </w:t>
      </w:r>
      <w:r w:rsidR="008948E5">
        <w:rPr>
          <w:lang w:val="pl-PL"/>
        </w:rPr>
        <w:t>k</w:t>
      </w:r>
      <w:r w:rsidRPr="00AF2271">
        <w:rPr>
          <w:lang w:val="pl-PL"/>
        </w:rPr>
        <w:t xml:space="preserve">lienta </w:t>
      </w:r>
      <w:r w:rsidR="00197791" w:rsidRPr="00AF2271">
        <w:rPr>
          <w:lang w:val="pl-PL"/>
        </w:rPr>
        <w:t xml:space="preserve">prezentowany jest na ekranie pozostały czas </w:t>
      </w:r>
      <w:r w:rsidRPr="00AF2271">
        <w:rPr>
          <w:lang w:val="pl-PL"/>
        </w:rPr>
        <w:t xml:space="preserve">na akceptację warunków transakcji i oferowanego przez </w:t>
      </w:r>
      <w:r w:rsidR="00866488">
        <w:rPr>
          <w:lang w:val="pl-PL"/>
        </w:rPr>
        <w:t>b</w:t>
      </w:r>
      <w:r w:rsidRPr="00AF2271">
        <w:rPr>
          <w:lang w:val="pl-PL"/>
        </w:rPr>
        <w:t xml:space="preserve">ank kursu walutowego </w:t>
      </w:r>
      <w:r w:rsidR="00197791" w:rsidRPr="00AF2271">
        <w:rPr>
          <w:lang w:val="pl-PL"/>
        </w:rPr>
        <w:t xml:space="preserve">dla tej </w:t>
      </w:r>
      <w:r w:rsidRPr="00AF2271">
        <w:rPr>
          <w:lang w:val="pl-PL"/>
        </w:rPr>
        <w:t xml:space="preserve">transakcji. </w:t>
      </w:r>
    </w:p>
    <w:p w14:paraId="50433498" w14:textId="4ED71946" w:rsidR="00B14C8A" w:rsidRPr="00AF2271" w:rsidRDefault="00761CBF" w:rsidP="00B14C8A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lang w:val="pl-PL"/>
        </w:rPr>
      </w:pPr>
      <w:r w:rsidRPr="00AF2271">
        <w:rPr>
          <w:lang w:val="pl-PL"/>
        </w:rPr>
        <w:t xml:space="preserve">Zawarcie transakcji następuje z chwilą zatwierdzenia przez </w:t>
      </w:r>
      <w:r w:rsidR="002F0565" w:rsidRPr="00AF2271">
        <w:rPr>
          <w:lang w:val="pl-PL"/>
        </w:rPr>
        <w:t>k</w:t>
      </w:r>
      <w:r w:rsidRPr="00AF2271">
        <w:rPr>
          <w:lang w:val="pl-PL"/>
        </w:rPr>
        <w:t xml:space="preserve">lienta kursu walutowego, </w:t>
      </w:r>
      <w:r w:rsidR="00CC5E53" w:rsidRPr="00AF2271">
        <w:rPr>
          <w:lang w:val="pl-PL"/>
        </w:rPr>
        <w:br/>
      </w:r>
      <w:r w:rsidRPr="00AF2271">
        <w:rPr>
          <w:lang w:val="pl-PL"/>
        </w:rPr>
        <w:t>o którym mowa w ust. 2. poprzez wybranie na ekranie przycisku „</w:t>
      </w:r>
      <w:r w:rsidR="002F0565" w:rsidRPr="00AF2271">
        <w:rPr>
          <w:lang w:val="pl-PL"/>
        </w:rPr>
        <w:t>Kup</w:t>
      </w:r>
      <w:r w:rsidRPr="00AF2271">
        <w:rPr>
          <w:lang w:val="pl-PL"/>
        </w:rPr>
        <w:t>”</w:t>
      </w:r>
      <w:r w:rsidR="002F0565" w:rsidRPr="00AF2271">
        <w:rPr>
          <w:lang w:val="pl-PL"/>
        </w:rPr>
        <w:t xml:space="preserve"> lub ,,Sprzedaj’’</w:t>
      </w:r>
      <w:r w:rsidR="00B14C8A" w:rsidRPr="00AF2271">
        <w:rPr>
          <w:lang w:val="pl-PL"/>
        </w:rPr>
        <w:t xml:space="preserve">, </w:t>
      </w:r>
      <w:r w:rsidR="00CC5E53" w:rsidRPr="00AF2271">
        <w:rPr>
          <w:lang w:val="pl-PL"/>
        </w:rPr>
        <w:br/>
      </w:r>
      <w:r w:rsidR="003137FC" w:rsidRPr="00AF2271">
        <w:rPr>
          <w:lang w:val="pl-PL"/>
        </w:rPr>
        <w:t>a następnie zaakceptowanie powyższego przyciskiem ,,Potwierdź’’</w:t>
      </w:r>
      <w:r w:rsidR="00636B93" w:rsidRPr="00AF2271">
        <w:rPr>
          <w:lang w:val="pl-PL"/>
        </w:rPr>
        <w:t>,</w:t>
      </w:r>
      <w:r w:rsidR="003137FC" w:rsidRPr="00AF2271">
        <w:rPr>
          <w:lang w:val="pl-PL"/>
        </w:rPr>
        <w:t xml:space="preserve"> </w:t>
      </w:r>
      <w:r w:rsidR="00B14C8A" w:rsidRPr="00AF2271">
        <w:rPr>
          <w:lang w:val="pl-PL"/>
        </w:rPr>
        <w:t xml:space="preserve">co jest jednoznaczne </w:t>
      </w:r>
      <w:r w:rsidR="00CC5E53" w:rsidRPr="00AF2271">
        <w:rPr>
          <w:lang w:val="pl-PL"/>
        </w:rPr>
        <w:br/>
      </w:r>
      <w:r w:rsidR="00B14C8A" w:rsidRPr="00AF2271">
        <w:rPr>
          <w:lang w:val="pl-PL"/>
        </w:rPr>
        <w:t>z autoryzacją transakcji</w:t>
      </w:r>
      <w:r w:rsidRPr="00AF2271">
        <w:rPr>
          <w:lang w:val="pl-PL"/>
        </w:rPr>
        <w:t xml:space="preserve">. </w:t>
      </w:r>
      <w:r w:rsidR="006E5604" w:rsidRPr="00AF2271">
        <w:rPr>
          <w:lang w:val="pl-PL"/>
        </w:rPr>
        <w:t xml:space="preserve"> </w:t>
      </w:r>
    </w:p>
    <w:p w14:paraId="3D459578" w14:textId="00633727" w:rsidR="00B14C8A" w:rsidRPr="00AF2271" w:rsidRDefault="00B14C8A" w:rsidP="00B14C8A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lang w:val="pl-PL"/>
        </w:rPr>
      </w:pPr>
      <w:r w:rsidRPr="00AF2271">
        <w:rPr>
          <w:lang w:val="pl-PL"/>
        </w:rPr>
        <w:t xml:space="preserve">Transakcja zawierana jest jednoosobowo, tzn. nie wymaga zaakceptowania przez innego </w:t>
      </w:r>
      <w:r w:rsidRPr="00F023A7">
        <w:rPr>
          <w:lang w:val="pl-PL"/>
        </w:rPr>
        <w:t>użytkownika.</w:t>
      </w:r>
    </w:p>
    <w:p w14:paraId="3183E5CD" w14:textId="77777777" w:rsidR="00B14C8A" w:rsidRPr="00AF2271" w:rsidRDefault="00761CBF" w:rsidP="00B14C8A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lang w:val="pl-PL"/>
        </w:rPr>
      </w:pPr>
      <w:r w:rsidRPr="00AF2271">
        <w:rPr>
          <w:lang w:val="pl-PL"/>
        </w:rPr>
        <w:t xml:space="preserve">Zawarta transakcja nie może być anulowana. Klient nie ma możliwości odstąpienia </w:t>
      </w:r>
      <w:r w:rsidR="00CC5E53" w:rsidRPr="00AF2271">
        <w:rPr>
          <w:lang w:val="pl-PL"/>
        </w:rPr>
        <w:br/>
      </w:r>
      <w:r w:rsidRPr="00AF2271">
        <w:rPr>
          <w:lang w:val="pl-PL"/>
        </w:rPr>
        <w:t xml:space="preserve">od zawartej transakcji. </w:t>
      </w:r>
    </w:p>
    <w:p w14:paraId="2C13AEB5" w14:textId="0B685FD5" w:rsidR="00B14C8A" w:rsidRPr="00AF2271" w:rsidRDefault="00761CBF" w:rsidP="00B14C8A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lang w:val="pl-PL"/>
        </w:rPr>
      </w:pPr>
      <w:r w:rsidRPr="00AF2271">
        <w:rPr>
          <w:lang w:val="pl-PL"/>
        </w:rPr>
        <w:t xml:space="preserve">Transakcja nie wymaga potwierdzenia </w:t>
      </w:r>
      <w:r w:rsidR="003F58C8">
        <w:rPr>
          <w:lang w:val="pl-PL"/>
        </w:rPr>
        <w:t>indywidualnymi danymi uwierzytelniającymi</w:t>
      </w:r>
      <w:r w:rsidR="003F58C8" w:rsidRPr="00AF2271" w:rsidDel="003F58C8">
        <w:rPr>
          <w:lang w:val="pl-PL"/>
        </w:rPr>
        <w:t xml:space="preserve"> </w:t>
      </w:r>
      <w:r w:rsidR="002F0565" w:rsidRPr="00AF2271">
        <w:rPr>
          <w:lang w:val="pl-PL"/>
        </w:rPr>
        <w:t xml:space="preserve">(np. SMS, </w:t>
      </w:r>
      <w:proofErr w:type="spellStart"/>
      <w:r w:rsidR="002F0565" w:rsidRPr="00941A67">
        <w:rPr>
          <w:lang w:val="pl-PL"/>
        </w:rPr>
        <w:t>Token</w:t>
      </w:r>
      <w:proofErr w:type="spellEnd"/>
      <w:r w:rsidR="002F0565" w:rsidRPr="00941A67">
        <w:rPr>
          <w:lang w:val="pl-PL"/>
        </w:rPr>
        <w:t xml:space="preserve"> mobilny SGB</w:t>
      </w:r>
      <w:r w:rsidR="002F0565" w:rsidRPr="00AF2271">
        <w:rPr>
          <w:lang w:val="pl-PL"/>
        </w:rPr>
        <w:t>)</w:t>
      </w:r>
      <w:r w:rsidRPr="00AF2271">
        <w:rPr>
          <w:lang w:val="pl-PL"/>
        </w:rPr>
        <w:t xml:space="preserve">. </w:t>
      </w:r>
    </w:p>
    <w:p w14:paraId="0A22294D" w14:textId="4B14864C" w:rsidR="00761CBF" w:rsidRPr="00AF2271" w:rsidRDefault="00761CBF" w:rsidP="00B14C8A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lang w:val="pl-PL"/>
        </w:rPr>
      </w:pPr>
      <w:r w:rsidRPr="00AF2271">
        <w:rPr>
          <w:lang w:val="pl-PL"/>
        </w:rPr>
        <w:t xml:space="preserve">Rozliczenie transakcji następuje bezpośrednio po zawarciu transakcji na rachunkach wskazanych przez </w:t>
      </w:r>
      <w:r w:rsidR="00532A51">
        <w:rPr>
          <w:lang w:val="pl-PL"/>
        </w:rPr>
        <w:t>k</w:t>
      </w:r>
      <w:r w:rsidRPr="00AF2271">
        <w:rPr>
          <w:lang w:val="pl-PL"/>
        </w:rPr>
        <w:t xml:space="preserve">lienta. </w:t>
      </w:r>
    </w:p>
    <w:p w14:paraId="5B9736C1" w14:textId="77777777" w:rsidR="00F54DE6" w:rsidRPr="00AF2271" w:rsidRDefault="001256FE" w:rsidP="008D7FAA">
      <w:pPr>
        <w:pStyle w:val="Tekstpodstawowywcity"/>
        <w:spacing w:before="240"/>
        <w:ind w:left="-142" w:hanging="284"/>
        <w:jc w:val="center"/>
        <w:rPr>
          <w:b/>
          <w:lang w:val="pl-PL"/>
        </w:rPr>
      </w:pPr>
      <w:r w:rsidRPr="00AF2271">
        <w:rPr>
          <w:b/>
          <w:lang w:val="pl-PL"/>
        </w:rPr>
        <w:t>Zlecenie t</w:t>
      </w:r>
      <w:r w:rsidR="00F54DE6" w:rsidRPr="00AF2271">
        <w:rPr>
          <w:b/>
          <w:lang w:val="pl-PL"/>
        </w:rPr>
        <w:t>ransakcj</w:t>
      </w:r>
      <w:r w:rsidR="00967F1F" w:rsidRPr="00AF2271">
        <w:rPr>
          <w:b/>
          <w:lang w:val="pl-PL"/>
        </w:rPr>
        <w:t>i</w:t>
      </w:r>
      <w:r w:rsidR="00F54DE6" w:rsidRPr="00AF2271">
        <w:rPr>
          <w:b/>
          <w:lang w:val="pl-PL"/>
        </w:rPr>
        <w:t xml:space="preserve"> </w:t>
      </w:r>
      <w:r w:rsidR="00967F1F" w:rsidRPr="00AF2271">
        <w:rPr>
          <w:b/>
          <w:lang w:val="pl-PL"/>
        </w:rPr>
        <w:t>wymiany walut w przyszłości</w:t>
      </w:r>
    </w:p>
    <w:p w14:paraId="531C6467" w14:textId="77777777" w:rsidR="00F54DE6" w:rsidRPr="00AF2271" w:rsidRDefault="00F54DE6" w:rsidP="00F54DE6">
      <w:pPr>
        <w:autoSpaceDE w:val="0"/>
        <w:autoSpaceDN w:val="0"/>
        <w:adjustRightInd w:val="0"/>
        <w:spacing w:after="28"/>
        <w:jc w:val="center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bCs/>
          <w:color w:val="000000"/>
          <w:lang w:eastAsia="en-US"/>
        </w:rPr>
        <w:t xml:space="preserve">§ </w:t>
      </w:r>
      <w:r w:rsidR="00161D46" w:rsidRPr="00AF2271">
        <w:rPr>
          <w:rFonts w:eastAsiaTheme="minorHAnsi"/>
          <w:bCs/>
          <w:color w:val="000000"/>
          <w:lang w:eastAsia="en-US"/>
        </w:rPr>
        <w:t>6</w:t>
      </w:r>
    </w:p>
    <w:p w14:paraId="0344988A" w14:textId="7FAD0C0D" w:rsidR="00636B93" w:rsidRPr="00AF2271" w:rsidRDefault="00636B93" w:rsidP="00636B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"/>
        <w:ind w:left="284" w:hanging="284"/>
        <w:jc w:val="both"/>
        <w:rPr>
          <w:rFonts w:eastAsiaTheme="minorHAnsi"/>
          <w:color w:val="000000"/>
          <w:lang w:eastAsia="en-US"/>
        </w:rPr>
      </w:pPr>
      <w:r w:rsidRPr="00F023A7">
        <w:rPr>
          <w:rFonts w:eastAsiaTheme="minorHAnsi"/>
          <w:color w:val="000000"/>
          <w:lang w:eastAsia="en-US"/>
        </w:rPr>
        <w:t xml:space="preserve">Użytkownik </w:t>
      </w:r>
      <w:r w:rsidR="0095304B" w:rsidRPr="00AF2271">
        <w:rPr>
          <w:rFonts w:eastAsiaTheme="minorHAnsi"/>
          <w:color w:val="000000"/>
          <w:lang w:eastAsia="en-US"/>
        </w:rPr>
        <w:t>korzystający z Kantoru SGB</w:t>
      </w:r>
      <w:r w:rsidRPr="00AF2271">
        <w:rPr>
          <w:rFonts w:eastAsiaTheme="minorHAnsi"/>
          <w:color w:val="000000"/>
          <w:lang w:eastAsia="en-US"/>
        </w:rPr>
        <w:t xml:space="preserve"> może zlecić wykonanie transakcji kupna/sprzedaży w przyszłości. </w:t>
      </w:r>
    </w:p>
    <w:p w14:paraId="799CA6CB" w14:textId="6168957A" w:rsidR="00967F1F" w:rsidRPr="00AF2271" w:rsidRDefault="00967F1F" w:rsidP="00967F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"/>
        <w:ind w:left="284" w:hanging="284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>Zlecenie realizacji transakcji wymiany walut w przyszłości może być założone w każdym czasie</w:t>
      </w:r>
      <w:r w:rsidR="008B7715" w:rsidRPr="00AF2271">
        <w:rPr>
          <w:rFonts w:eastAsiaTheme="minorHAnsi"/>
          <w:color w:val="000000"/>
          <w:lang w:eastAsia="en-US"/>
        </w:rPr>
        <w:t xml:space="preserve"> </w:t>
      </w:r>
      <w:r w:rsidR="00492BF2" w:rsidRPr="00AF2271">
        <w:rPr>
          <w:rFonts w:eastAsiaTheme="minorHAnsi"/>
          <w:color w:val="000000"/>
          <w:lang w:eastAsia="en-US"/>
        </w:rPr>
        <w:t xml:space="preserve">(oferta) </w:t>
      </w:r>
      <w:r w:rsidR="00FD4DA4" w:rsidRPr="00AF2271">
        <w:rPr>
          <w:rFonts w:eastAsiaTheme="minorHAnsi"/>
          <w:color w:val="000000"/>
          <w:lang w:eastAsia="en-US"/>
        </w:rPr>
        <w:t xml:space="preserve">i może być odwołane </w:t>
      </w:r>
      <w:r w:rsidR="008B7715" w:rsidRPr="00AF2271">
        <w:rPr>
          <w:rFonts w:eastAsiaTheme="minorHAnsi"/>
          <w:color w:val="000000"/>
          <w:lang w:eastAsia="en-US"/>
        </w:rPr>
        <w:t>przed osiągnięciem poziomu kursu wskazanego do realizacji rodzaju danej transakcji wskazanej w ww. zleceniu</w:t>
      </w:r>
      <w:r w:rsidRPr="00AF2271">
        <w:rPr>
          <w:rFonts w:eastAsiaTheme="minorHAnsi"/>
          <w:color w:val="000000"/>
          <w:lang w:eastAsia="en-US"/>
        </w:rPr>
        <w:t>.</w:t>
      </w:r>
    </w:p>
    <w:p w14:paraId="66FE3831" w14:textId="77777777" w:rsidR="00F54DE6" w:rsidRPr="00AF2271" w:rsidRDefault="00F54DE6" w:rsidP="00636B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"/>
        <w:ind w:left="284" w:hanging="284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Bank udostępnia informacje o: </w:t>
      </w:r>
    </w:p>
    <w:p w14:paraId="41BE9780" w14:textId="77777777" w:rsidR="00F54DE6" w:rsidRPr="00AF2271" w:rsidRDefault="00F54DE6" w:rsidP="00636B93">
      <w:pPr>
        <w:autoSpaceDE w:val="0"/>
        <w:autoSpaceDN w:val="0"/>
        <w:adjustRightInd w:val="0"/>
        <w:spacing w:after="28"/>
        <w:ind w:left="284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>1) dniach i godzinach, w których może być złożon</w:t>
      </w:r>
      <w:r w:rsidR="00130236" w:rsidRPr="00AF2271">
        <w:rPr>
          <w:rFonts w:eastAsiaTheme="minorHAnsi"/>
          <w:color w:val="000000"/>
          <w:lang w:eastAsia="en-US"/>
        </w:rPr>
        <w:t>e zlecenie transakcji z datą przyszłą</w:t>
      </w:r>
      <w:r w:rsidRPr="00AF2271">
        <w:rPr>
          <w:rFonts w:eastAsiaTheme="minorHAnsi"/>
          <w:color w:val="000000"/>
          <w:lang w:eastAsia="en-US"/>
        </w:rPr>
        <w:t xml:space="preserve">, </w:t>
      </w:r>
    </w:p>
    <w:p w14:paraId="47C6F253" w14:textId="77777777" w:rsidR="00F54DE6" w:rsidRPr="00AF2271" w:rsidRDefault="00F54DE6" w:rsidP="00636B93">
      <w:pPr>
        <w:autoSpaceDE w:val="0"/>
        <w:autoSpaceDN w:val="0"/>
        <w:adjustRightInd w:val="0"/>
        <w:spacing w:after="28"/>
        <w:ind w:left="284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2) dniach rozpoczęcia i zakończenia </w:t>
      </w:r>
      <w:r w:rsidR="00636B93" w:rsidRPr="00AF2271">
        <w:rPr>
          <w:rFonts w:eastAsiaTheme="minorHAnsi"/>
          <w:color w:val="000000"/>
          <w:lang w:eastAsia="en-US"/>
        </w:rPr>
        <w:t>transakcji</w:t>
      </w:r>
      <w:r w:rsidRPr="00AF2271">
        <w:rPr>
          <w:rFonts w:eastAsiaTheme="minorHAnsi"/>
          <w:color w:val="000000"/>
          <w:lang w:eastAsia="en-US"/>
        </w:rPr>
        <w:t xml:space="preserve">, </w:t>
      </w:r>
    </w:p>
    <w:p w14:paraId="364B386A" w14:textId="77777777" w:rsidR="00F54DE6" w:rsidRPr="00AF2271" w:rsidRDefault="00F54DE6" w:rsidP="00636B93">
      <w:pPr>
        <w:autoSpaceDE w:val="0"/>
        <w:autoSpaceDN w:val="0"/>
        <w:adjustRightInd w:val="0"/>
        <w:ind w:left="284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3) godzinach, w których można odwołać </w:t>
      </w:r>
      <w:r w:rsidR="00636B93" w:rsidRPr="00AF2271">
        <w:rPr>
          <w:rFonts w:eastAsiaTheme="minorHAnsi"/>
          <w:color w:val="000000"/>
          <w:lang w:eastAsia="en-US"/>
        </w:rPr>
        <w:t>zlecenie transakcji,</w:t>
      </w:r>
    </w:p>
    <w:p w14:paraId="7EC00150" w14:textId="5B86D521" w:rsidR="00F54DE6" w:rsidRPr="00AF2271" w:rsidRDefault="00F54DE6" w:rsidP="00636B93">
      <w:pPr>
        <w:autoSpaceDE w:val="0"/>
        <w:autoSpaceDN w:val="0"/>
        <w:adjustRightInd w:val="0"/>
        <w:ind w:left="284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za pośrednictwem strony internetowej </w:t>
      </w:r>
      <w:r w:rsidR="00532A51">
        <w:rPr>
          <w:rFonts w:eastAsiaTheme="minorHAnsi"/>
          <w:color w:val="000000"/>
          <w:lang w:eastAsia="en-US"/>
        </w:rPr>
        <w:t>b</w:t>
      </w:r>
      <w:r w:rsidRPr="00AF2271">
        <w:rPr>
          <w:rFonts w:eastAsiaTheme="minorHAnsi"/>
          <w:color w:val="000000"/>
          <w:lang w:eastAsia="en-US"/>
        </w:rPr>
        <w:t xml:space="preserve">anku, </w:t>
      </w:r>
      <w:proofErr w:type="spellStart"/>
      <w:r w:rsidR="00CC0217">
        <w:rPr>
          <w:rFonts w:eastAsiaTheme="minorHAnsi"/>
          <w:lang w:eastAsia="en-US"/>
        </w:rPr>
        <w:t>c</w:t>
      </w:r>
      <w:r w:rsidRPr="00941A67">
        <w:rPr>
          <w:rFonts w:eastAsiaTheme="minorHAnsi"/>
          <w:lang w:eastAsia="en-US"/>
        </w:rPr>
        <w:t>all</w:t>
      </w:r>
      <w:proofErr w:type="spellEnd"/>
      <w:r w:rsidR="00CC0217">
        <w:rPr>
          <w:rFonts w:eastAsiaTheme="minorHAnsi"/>
          <w:lang w:eastAsia="en-US"/>
        </w:rPr>
        <w:t xml:space="preserve"> </w:t>
      </w:r>
      <w:proofErr w:type="spellStart"/>
      <w:r w:rsidR="00CC0217">
        <w:rPr>
          <w:rFonts w:eastAsiaTheme="minorHAnsi"/>
          <w:lang w:eastAsia="en-US"/>
        </w:rPr>
        <w:t>c</w:t>
      </w:r>
      <w:r w:rsidRPr="00941A67">
        <w:rPr>
          <w:rFonts w:eastAsiaTheme="minorHAnsi"/>
          <w:lang w:eastAsia="en-US"/>
        </w:rPr>
        <w:t>enter</w:t>
      </w:r>
      <w:proofErr w:type="spellEnd"/>
      <w:r w:rsidRPr="00941A67">
        <w:rPr>
          <w:rFonts w:eastAsiaTheme="minorHAnsi"/>
          <w:lang w:eastAsia="en-US"/>
        </w:rPr>
        <w:t xml:space="preserve"> </w:t>
      </w:r>
      <w:r w:rsidRPr="00AF2271">
        <w:rPr>
          <w:rFonts w:eastAsiaTheme="minorHAnsi"/>
          <w:color w:val="000000"/>
          <w:lang w:eastAsia="en-US"/>
        </w:rPr>
        <w:t xml:space="preserve">oraz w placówkach </w:t>
      </w:r>
      <w:r w:rsidR="00532A51">
        <w:rPr>
          <w:rFonts w:eastAsiaTheme="minorHAnsi"/>
          <w:color w:val="000000"/>
          <w:lang w:eastAsia="en-US"/>
        </w:rPr>
        <w:t>b</w:t>
      </w:r>
      <w:r w:rsidRPr="00AF2271">
        <w:rPr>
          <w:rFonts w:eastAsiaTheme="minorHAnsi"/>
          <w:color w:val="000000"/>
          <w:lang w:eastAsia="en-US"/>
        </w:rPr>
        <w:t xml:space="preserve">anku. </w:t>
      </w:r>
    </w:p>
    <w:p w14:paraId="26FF4CDB" w14:textId="77777777" w:rsidR="00F54DE6" w:rsidRPr="00AF2271" w:rsidRDefault="00F54DE6" w:rsidP="00F54DE6">
      <w:pPr>
        <w:autoSpaceDE w:val="0"/>
        <w:autoSpaceDN w:val="0"/>
        <w:adjustRightInd w:val="0"/>
        <w:spacing w:after="12"/>
        <w:jc w:val="center"/>
        <w:rPr>
          <w:rFonts w:eastAsiaTheme="minorHAnsi"/>
          <w:b/>
          <w:bCs/>
          <w:color w:val="000000"/>
          <w:lang w:eastAsia="en-US"/>
        </w:rPr>
      </w:pPr>
    </w:p>
    <w:p w14:paraId="2B342B87" w14:textId="77777777" w:rsidR="00F54DE6" w:rsidRPr="00AF2271" w:rsidRDefault="00F54DE6" w:rsidP="00F54DE6">
      <w:pPr>
        <w:autoSpaceDE w:val="0"/>
        <w:autoSpaceDN w:val="0"/>
        <w:adjustRightInd w:val="0"/>
        <w:spacing w:after="12"/>
        <w:jc w:val="center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bCs/>
          <w:color w:val="000000"/>
          <w:lang w:eastAsia="en-US"/>
        </w:rPr>
        <w:t xml:space="preserve">§ </w:t>
      </w:r>
      <w:r w:rsidR="00161D46" w:rsidRPr="00AF2271">
        <w:rPr>
          <w:rFonts w:eastAsiaTheme="minorHAnsi"/>
          <w:bCs/>
          <w:color w:val="000000"/>
          <w:lang w:eastAsia="en-US"/>
        </w:rPr>
        <w:t>7</w:t>
      </w:r>
    </w:p>
    <w:p w14:paraId="0B7695D7" w14:textId="6218C0BE" w:rsidR="00F54DE6" w:rsidRPr="00AF2271" w:rsidRDefault="00F54DE6" w:rsidP="00636B9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"/>
        <w:ind w:left="284" w:hanging="284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Składając </w:t>
      </w:r>
      <w:r w:rsidR="00FD3D75" w:rsidRPr="00AF2271">
        <w:rPr>
          <w:rFonts w:eastAsiaTheme="minorHAnsi"/>
          <w:color w:val="000000"/>
          <w:lang w:eastAsia="en-US"/>
        </w:rPr>
        <w:t>zlecenie</w:t>
      </w:r>
      <w:r w:rsidR="001F7A9F" w:rsidRPr="00AF2271">
        <w:rPr>
          <w:rFonts w:eastAsiaTheme="minorHAnsi"/>
          <w:color w:val="000000"/>
          <w:lang w:eastAsia="en-US"/>
        </w:rPr>
        <w:t>, o którym mowa w §</w:t>
      </w:r>
      <w:r w:rsidR="00CC5E53" w:rsidRPr="00AF2271">
        <w:rPr>
          <w:rFonts w:eastAsiaTheme="minorHAnsi"/>
          <w:color w:val="000000"/>
          <w:lang w:eastAsia="en-US"/>
        </w:rPr>
        <w:t xml:space="preserve"> </w:t>
      </w:r>
      <w:r w:rsidR="001F7A9F" w:rsidRPr="00AF2271">
        <w:rPr>
          <w:rFonts w:eastAsiaTheme="minorHAnsi"/>
          <w:color w:val="000000"/>
          <w:lang w:eastAsia="en-US"/>
        </w:rPr>
        <w:t>6 ust</w:t>
      </w:r>
      <w:r w:rsidR="006704CA">
        <w:rPr>
          <w:rFonts w:eastAsiaTheme="minorHAnsi"/>
          <w:color w:val="000000"/>
          <w:lang w:eastAsia="en-US"/>
        </w:rPr>
        <w:t>.</w:t>
      </w:r>
      <w:r w:rsidR="001F7A9F" w:rsidRPr="00AF2271">
        <w:rPr>
          <w:rFonts w:eastAsiaTheme="minorHAnsi"/>
          <w:color w:val="000000"/>
          <w:lang w:eastAsia="en-US"/>
        </w:rPr>
        <w:t xml:space="preserve"> 1 </w:t>
      </w:r>
      <w:r w:rsidR="00FD3D75" w:rsidRPr="00F023A7">
        <w:rPr>
          <w:rFonts w:eastAsiaTheme="minorHAnsi"/>
          <w:color w:val="000000"/>
          <w:lang w:eastAsia="en-US"/>
        </w:rPr>
        <w:t>użytkownik</w:t>
      </w:r>
      <w:r w:rsidRPr="00AF2271">
        <w:rPr>
          <w:rFonts w:eastAsiaTheme="minorHAnsi"/>
          <w:color w:val="000000"/>
          <w:lang w:eastAsia="en-US"/>
        </w:rPr>
        <w:t xml:space="preserve">: </w:t>
      </w:r>
    </w:p>
    <w:p w14:paraId="5F5F0AA2" w14:textId="77777777" w:rsidR="00F54DE6" w:rsidRPr="00AF2271" w:rsidRDefault="00F54DE6" w:rsidP="00FD3D75">
      <w:pPr>
        <w:autoSpaceDE w:val="0"/>
        <w:autoSpaceDN w:val="0"/>
        <w:adjustRightInd w:val="0"/>
        <w:ind w:left="284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1) określa następujące parametry </w:t>
      </w:r>
      <w:r w:rsidR="00FD3D75" w:rsidRPr="00AF2271">
        <w:rPr>
          <w:rFonts w:eastAsiaTheme="minorHAnsi"/>
          <w:color w:val="000000"/>
          <w:lang w:eastAsia="en-US"/>
        </w:rPr>
        <w:t>zlecenia</w:t>
      </w:r>
      <w:r w:rsidRPr="00AF2271">
        <w:rPr>
          <w:rFonts w:eastAsiaTheme="minorHAnsi"/>
          <w:color w:val="000000"/>
          <w:lang w:eastAsia="en-US"/>
        </w:rPr>
        <w:t xml:space="preserve">: </w:t>
      </w:r>
    </w:p>
    <w:p w14:paraId="5C27C529" w14:textId="77777777" w:rsidR="00F54DE6" w:rsidRPr="00AF2271" w:rsidRDefault="00F54DE6" w:rsidP="00FD3D75">
      <w:pPr>
        <w:autoSpaceDE w:val="0"/>
        <w:autoSpaceDN w:val="0"/>
        <w:adjustRightInd w:val="0"/>
        <w:spacing w:after="8"/>
        <w:ind w:left="567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a) rodzaj </w:t>
      </w:r>
      <w:r w:rsidR="00FD3D75" w:rsidRPr="00AF2271">
        <w:rPr>
          <w:rFonts w:eastAsiaTheme="minorHAnsi"/>
          <w:color w:val="000000"/>
          <w:lang w:eastAsia="en-US"/>
        </w:rPr>
        <w:t>t</w:t>
      </w:r>
      <w:r w:rsidRPr="00AF2271">
        <w:rPr>
          <w:rFonts w:eastAsiaTheme="minorHAnsi"/>
          <w:color w:val="000000"/>
          <w:lang w:eastAsia="en-US"/>
        </w:rPr>
        <w:t xml:space="preserve">ransakcji </w:t>
      </w:r>
      <w:r w:rsidR="00197791" w:rsidRPr="00AF2271">
        <w:rPr>
          <w:rFonts w:eastAsiaTheme="minorHAnsi"/>
          <w:color w:val="000000"/>
          <w:lang w:eastAsia="en-US"/>
        </w:rPr>
        <w:t>(kupno/sprzedaż waluty)</w:t>
      </w:r>
      <w:r w:rsidRPr="00AF2271">
        <w:rPr>
          <w:rFonts w:eastAsiaTheme="minorHAnsi"/>
          <w:color w:val="000000"/>
          <w:lang w:eastAsia="en-US"/>
        </w:rPr>
        <w:t xml:space="preserve">, </w:t>
      </w:r>
    </w:p>
    <w:p w14:paraId="7CC3ADB4" w14:textId="77777777" w:rsidR="00F54DE6" w:rsidRPr="00AF2271" w:rsidRDefault="00F54DE6" w:rsidP="00FD3D75">
      <w:pPr>
        <w:autoSpaceDE w:val="0"/>
        <w:autoSpaceDN w:val="0"/>
        <w:adjustRightInd w:val="0"/>
        <w:spacing w:after="8"/>
        <w:ind w:left="567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>b) parę walutową,</w:t>
      </w:r>
      <w:r w:rsidR="00197791" w:rsidRPr="00AF2271">
        <w:rPr>
          <w:rFonts w:eastAsiaTheme="minorHAnsi"/>
          <w:color w:val="000000"/>
          <w:lang w:eastAsia="en-US"/>
        </w:rPr>
        <w:t xml:space="preserve"> </w:t>
      </w:r>
      <w:r w:rsidR="0095304B" w:rsidRPr="00AF2271">
        <w:rPr>
          <w:rFonts w:eastAsiaTheme="minorHAnsi"/>
          <w:color w:val="000000"/>
          <w:lang w:eastAsia="en-US"/>
        </w:rPr>
        <w:t xml:space="preserve"> </w:t>
      </w:r>
      <w:r w:rsidR="00197791" w:rsidRPr="00AF2271">
        <w:rPr>
          <w:rFonts w:eastAsiaTheme="minorHAnsi"/>
          <w:color w:val="000000"/>
          <w:lang w:eastAsia="en-US"/>
        </w:rPr>
        <w:t xml:space="preserve"> </w:t>
      </w:r>
    </w:p>
    <w:p w14:paraId="79EBBD3C" w14:textId="77777777" w:rsidR="00F54DE6" w:rsidRPr="00AF2271" w:rsidRDefault="00F54DE6" w:rsidP="00FD3D75">
      <w:pPr>
        <w:autoSpaceDE w:val="0"/>
        <w:autoSpaceDN w:val="0"/>
        <w:adjustRightInd w:val="0"/>
        <w:spacing w:after="8"/>
        <w:ind w:left="567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c) kwotę </w:t>
      </w:r>
      <w:r w:rsidR="00197791" w:rsidRPr="00AF2271">
        <w:rPr>
          <w:rFonts w:eastAsiaTheme="minorHAnsi"/>
          <w:color w:val="000000"/>
          <w:lang w:eastAsia="en-US"/>
        </w:rPr>
        <w:t>t</w:t>
      </w:r>
      <w:r w:rsidRPr="00AF2271">
        <w:rPr>
          <w:rFonts w:eastAsiaTheme="minorHAnsi"/>
          <w:color w:val="000000"/>
          <w:lang w:eastAsia="en-US"/>
        </w:rPr>
        <w:t xml:space="preserve">ransakcji, </w:t>
      </w:r>
    </w:p>
    <w:p w14:paraId="63C7A7E5" w14:textId="77777777" w:rsidR="00F54DE6" w:rsidRPr="00AF2271" w:rsidRDefault="00F54DE6" w:rsidP="00FD3D75">
      <w:pPr>
        <w:autoSpaceDE w:val="0"/>
        <w:autoSpaceDN w:val="0"/>
        <w:adjustRightInd w:val="0"/>
        <w:spacing w:after="8"/>
        <w:ind w:left="567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d) datę rozpoczęcia </w:t>
      </w:r>
      <w:r w:rsidR="00FD3D75" w:rsidRPr="00AF2271">
        <w:rPr>
          <w:rFonts w:eastAsiaTheme="minorHAnsi"/>
          <w:color w:val="000000"/>
          <w:lang w:eastAsia="en-US"/>
        </w:rPr>
        <w:t>zlecenia</w:t>
      </w:r>
      <w:r w:rsidRPr="00AF2271">
        <w:rPr>
          <w:rFonts w:eastAsiaTheme="minorHAnsi"/>
          <w:color w:val="000000"/>
          <w:lang w:eastAsia="en-US"/>
        </w:rPr>
        <w:t xml:space="preserve">, </w:t>
      </w:r>
    </w:p>
    <w:p w14:paraId="7D80FB31" w14:textId="77777777" w:rsidR="00F54DE6" w:rsidRPr="00AF2271" w:rsidRDefault="00F54DE6" w:rsidP="00FD3D75">
      <w:pPr>
        <w:autoSpaceDE w:val="0"/>
        <w:autoSpaceDN w:val="0"/>
        <w:adjustRightInd w:val="0"/>
        <w:spacing w:after="8"/>
        <w:ind w:left="567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e) datę zakończenia </w:t>
      </w:r>
      <w:r w:rsidR="00FD3D75" w:rsidRPr="00AF2271">
        <w:rPr>
          <w:rFonts w:eastAsiaTheme="minorHAnsi"/>
          <w:color w:val="000000"/>
          <w:lang w:eastAsia="en-US"/>
        </w:rPr>
        <w:t>zlecenia</w:t>
      </w:r>
      <w:r w:rsidRPr="00AF2271">
        <w:rPr>
          <w:rFonts w:eastAsiaTheme="minorHAnsi"/>
          <w:color w:val="000000"/>
          <w:lang w:eastAsia="en-US"/>
        </w:rPr>
        <w:t xml:space="preserve">, </w:t>
      </w:r>
    </w:p>
    <w:p w14:paraId="5831826E" w14:textId="77777777" w:rsidR="00F54DE6" w:rsidRPr="00AF2271" w:rsidRDefault="00F54DE6" w:rsidP="00FD3D75">
      <w:pPr>
        <w:autoSpaceDE w:val="0"/>
        <w:autoSpaceDN w:val="0"/>
        <w:adjustRightInd w:val="0"/>
        <w:ind w:left="567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f) </w:t>
      </w:r>
      <w:r w:rsidR="00FD3D75" w:rsidRPr="00AF2271">
        <w:rPr>
          <w:rFonts w:eastAsiaTheme="minorHAnsi"/>
          <w:color w:val="000000"/>
          <w:lang w:eastAsia="en-US"/>
        </w:rPr>
        <w:t>r</w:t>
      </w:r>
      <w:r w:rsidRPr="00AF2271">
        <w:rPr>
          <w:rFonts w:eastAsiaTheme="minorHAnsi"/>
          <w:color w:val="000000"/>
          <w:lang w:eastAsia="en-US"/>
        </w:rPr>
        <w:t xml:space="preserve">achunki służące do rozliczenia </w:t>
      </w:r>
      <w:r w:rsidR="00FD3D75" w:rsidRPr="00AF2271">
        <w:rPr>
          <w:rFonts w:eastAsiaTheme="minorHAnsi"/>
          <w:color w:val="000000"/>
          <w:lang w:eastAsia="en-US"/>
        </w:rPr>
        <w:t>zlecenia transakcji</w:t>
      </w:r>
      <w:r w:rsidR="00CC5E53" w:rsidRPr="00AF2271">
        <w:rPr>
          <w:rFonts w:eastAsiaTheme="minorHAnsi"/>
          <w:color w:val="000000"/>
          <w:lang w:eastAsia="en-US"/>
        </w:rPr>
        <w:t>;</w:t>
      </w:r>
      <w:r w:rsidRPr="00AF2271">
        <w:rPr>
          <w:rFonts w:eastAsiaTheme="minorHAnsi"/>
          <w:color w:val="000000"/>
          <w:lang w:eastAsia="en-US"/>
        </w:rPr>
        <w:t xml:space="preserve"> </w:t>
      </w:r>
    </w:p>
    <w:p w14:paraId="7E65AB12" w14:textId="77777777" w:rsidR="0095304B" w:rsidRPr="00AF2271" w:rsidRDefault="00F54DE6" w:rsidP="00CC5E53">
      <w:pPr>
        <w:autoSpaceDE w:val="0"/>
        <w:autoSpaceDN w:val="0"/>
        <w:adjustRightInd w:val="0"/>
        <w:spacing w:after="8"/>
        <w:ind w:left="142" w:firstLine="142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2) wskazuje kurs </w:t>
      </w:r>
      <w:r w:rsidR="00694A00" w:rsidRPr="00AF2271">
        <w:rPr>
          <w:rFonts w:eastAsiaTheme="minorHAnsi"/>
          <w:color w:val="000000"/>
          <w:lang w:eastAsia="en-US"/>
        </w:rPr>
        <w:t>realizacji zlecanej transakcji</w:t>
      </w:r>
      <w:r w:rsidRPr="00AF2271">
        <w:rPr>
          <w:rFonts w:eastAsiaTheme="minorHAnsi"/>
          <w:color w:val="000000"/>
          <w:lang w:eastAsia="en-US"/>
        </w:rPr>
        <w:t xml:space="preserve">. </w:t>
      </w:r>
    </w:p>
    <w:p w14:paraId="1D60CE13" w14:textId="77777777" w:rsidR="00F54DE6" w:rsidRPr="00AF2271" w:rsidRDefault="008B7715" w:rsidP="0095304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"/>
        <w:ind w:left="284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>Z</w:t>
      </w:r>
      <w:r w:rsidR="00DD078B" w:rsidRPr="00AF2271">
        <w:rPr>
          <w:rFonts w:eastAsiaTheme="minorHAnsi"/>
          <w:color w:val="000000"/>
          <w:lang w:eastAsia="en-US"/>
        </w:rPr>
        <w:t xml:space="preserve">lecenie realizacji transakcji </w:t>
      </w:r>
      <w:r w:rsidR="005616C4" w:rsidRPr="00AF2271">
        <w:rPr>
          <w:rFonts w:eastAsiaTheme="minorHAnsi"/>
          <w:color w:val="000000"/>
          <w:lang w:eastAsia="en-US"/>
        </w:rPr>
        <w:t xml:space="preserve">w danym dniu </w:t>
      </w:r>
      <w:r w:rsidRPr="00AF2271">
        <w:rPr>
          <w:rFonts w:eastAsiaTheme="minorHAnsi"/>
          <w:color w:val="000000"/>
          <w:lang w:eastAsia="en-US"/>
        </w:rPr>
        <w:t xml:space="preserve">jest przyjmowane </w:t>
      </w:r>
      <w:r w:rsidR="00F54DE6" w:rsidRPr="00AF2271">
        <w:rPr>
          <w:rFonts w:eastAsiaTheme="minorHAnsi"/>
          <w:color w:val="000000"/>
          <w:lang w:eastAsia="en-US"/>
        </w:rPr>
        <w:t xml:space="preserve">do wysokości </w:t>
      </w:r>
      <w:r w:rsidR="005616C4" w:rsidRPr="00AF2271">
        <w:rPr>
          <w:rFonts w:eastAsiaTheme="minorHAnsi"/>
          <w:color w:val="000000"/>
          <w:lang w:eastAsia="en-US"/>
        </w:rPr>
        <w:t xml:space="preserve">pojedynczego i dziennego limitu </w:t>
      </w:r>
      <w:r w:rsidR="00DD078B" w:rsidRPr="00AF2271">
        <w:rPr>
          <w:rFonts w:eastAsiaTheme="minorHAnsi"/>
          <w:color w:val="000000"/>
          <w:lang w:eastAsia="en-US"/>
        </w:rPr>
        <w:t>transakcji dla r</w:t>
      </w:r>
      <w:r w:rsidR="00F54DE6" w:rsidRPr="00AF2271">
        <w:rPr>
          <w:rFonts w:eastAsiaTheme="minorHAnsi"/>
          <w:color w:val="000000"/>
          <w:lang w:eastAsia="en-US"/>
        </w:rPr>
        <w:t xml:space="preserve">achunku </w:t>
      </w:r>
      <w:r w:rsidR="005616C4" w:rsidRPr="00AF2271">
        <w:rPr>
          <w:rFonts w:eastAsiaTheme="minorHAnsi"/>
          <w:color w:val="000000"/>
          <w:lang w:eastAsia="en-US"/>
        </w:rPr>
        <w:t xml:space="preserve">obciążanego </w:t>
      </w:r>
      <w:r w:rsidR="00F54DE6" w:rsidRPr="00AF2271">
        <w:rPr>
          <w:rFonts w:eastAsiaTheme="minorHAnsi"/>
          <w:color w:val="000000"/>
          <w:lang w:eastAsia="en-US"/>
        </w:rPr>
        <w:t>prowadzon</w:t>
      </w:r>
      <w:r w:rsidR="00197791" w:rsidRPr="00AF2271">
        <w:rPr>
          <w:rFonts w:eastAsiaTheme="minorHAnsi"/>
          <w:color w:val="000000"/>
          <w:lang w:eastAsia="en-US"/>
        </w:rPr>
        <w:t>ego</w:t>
      </w:r>
      <w:r w:rsidR="00F54DE6" w:rsidRPr="00AF2271">
        <w:rPr>
          <w:rFonts w:eastAsiaTheme="minorHAnsi"/>
          <w:color w:val="000000"/>
          <w:lang w:eastAsia="en-US"/>
        </w:rPr>
        <w:t xml:space="preserve"> w </w:t>
      </w:r>
      <w:r w:rsidR="00705FB0" w:rsidRPr="00AF2271">
        <w:rPr>
          <w:rFonts w:eastAsiaTheme="minorHAnsi"/>
          <w:color w:val="000000"/>
          <w:lang w:eastAsia="en-US"/>
        </w:rPr>
        <w:t xml:space="preserve">danej </w:t>
      </w:r>
      <w:r w:rsidR="00F54DE6" w:rsidRPr="00AF2271">
        <w:rPr>
          <w:rFonts w:eastAsiaTheme="minorHAnsi"/>
          <w:color w:val="000000"/>
          <w:lang w:eastAsia="en-US"/>
        </w:rPr>
        <w:t xml:space="preserve">walucie. </w:t>
      </w:r>
    </w:p>
    <w:p w14:paraId="25CE5E2F" w14:textId="6F301782" w:rsidR="00F54DE6" w:rsidRPr="00AF2271" w:rsidRDefault="00F54DE6" w:rsidP="00967F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"/>
        <w:ind w:left="284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Rachunkami służącymi do rozliczenia </w:t>
      </w:r>
      <w:r w:rsidR="000F6CB3" w:rsidRPr="00AF2271">
        <w:rPr>
          <w:rFonts w:eastAsiaTheme="minorHAnsi"/>
          <w:color w:val="000000"/>
          <w:lang w:eastAsia="en-US"/>
        </w:rPr>
        <w:t xml:space="preserve">transakcji w przyszłości </w:t>
      </w:r>
      <w:r w:rsidRPr="00AF2271">
        <w:rPr>
          <w:rFonts w:eastAsiaTheme="minorHAnsi"/>
          <w:color w:val="000000"/>
          <w:lang w:eastAsia="en-US"/>
        </w:rPr>
        <w:t xml:space="preserve">mogą być wyłącznie </w:t>
      </w:r>
      <w:r w:rsidR="000F6CB3" w:rsidRPr="00AF2271">
        <w:rPr>
          <w:rFonts w:eastAsiaTheme="minorHAnsi"/>
          <w:color w:val="000000"/>
          <w:lang w:eastAsia="en-US"/>
        </w:rPr>
        <w:t>r</w:t>
      </w:r>
      <w:r w:rsidRPr="00AF2271">
        <w:rPr>
          <w:rFonts w:eastAsiaTheme="minorHAnsi"/>
          <w:color w:val="000000"/>
          <w:lang w:eastAsia="en-US"/>
        </w:rPr>
        <w:t xml:space="preserve">achunki, z których </w:t>
      </w:r>
      <w:r w:rsidR="000F6CB3" w:rsidRPr="00F023A7">
        <w:rPr>
          <w:rFonts w:eastAsiaTheme="minorHAnsi"/>
          <w:color w:val="000000"/>
          <w:lang w:eastAsia="en-US"/>
        </w:rPr>
        <w:t>u</w:t>
      </w:r>
      <w:r w:rsidRPr="00F023A7">
        <w:rPr>
          <w:rFonts w:eastAsiaTheme="minorHAnsi"/>
          <w:color w:val="000000"/>
          <w:lang w:eastAsia="en-US"/>
        </w:rPr>
        <w:t>żytkownik</w:t>
      </w:r>
      <w:r w:rsidRPr="00AF2271">
        <w:rPr>
          <w:rFonts w:eastAsiaTheme="minorHAnsi"/>
          <w:color w:val="000000"/>
          <w:lang w:eastAsia="en-US"/>
        </w:rPr>
        <w:t xml:space="preserve"> korzysta jako </w:t>
      </w:r>
      <w:r w:rsidR="000F6CB3" w:rsidRPr="00AF2271">
        <w:rPr>
          <w:rFonts w:eastAsiaTheme="minorHAnsi"/>
          <w:color w:val="000000"/>
          <w:lang w:eastAsia="en-US"/>
        </w:rPr>
        <w:t>p</w:t>
      </w:r>
      <w:r w:rsidRPr="00AF2271">
        <w:rPr>
          <w:rFonts w:eastAsiaTheme="minorHAnsi"/>
          <w:color w:val="000000"/>
          <w:lang w:eastAsia="en-US"/>
        </w:rPr>
        <w:t xml:space="preserve">osiadacz </w:t>
      </w:r>
      <w:r w:rsidR="000F6CB3" w:rsidRPr="00AF2271">
        <w:rPr>
          <w:rFonts w:eastAsiaTheme="minorHAnsi"/>
          <w:color w:val="000000"/>
          <w:lang w:eastAsia="en-US"/>
        </w:rPr>
        <w:t>r</w:t>
      </w:r>
      <w:r w:rsidRPr="00AF2271">
        <w:rPr>
          <w:rFonts w:eastAsiaTheme="minorHAnsi"/>
          <w:color w:val="000000"/>
          <w:lang w:eastAsia="en-US"/>
        </w:rPr>
        <w:t xml:space="preserve">achunku lub </w:t>
      </w:r>
      <w:r w:rsidR="000F6CB3" w:rsidRPr="00AF2271">
        <w:rPr>
          <w:rFonts w:eastAsiaTheme="minorHAnsi"/>
          <w:color w:val="000000"/>
          <w:lang w:eastAsia="en-US"/>
        </w:rPr>
        <w:t>p</w:t>
      </w:r>
      <w:r w:rsidRPr="00AF2271">
        <w:rPr>
          <w:rFonts w:eastAsiaTheme="minorHAnsi"/>
          <w:color w:val="000000"/>
          <w:lang w:eastAsia="en-US"/>
        </w:rPr>
        <w:t>ełnomocnik</w:t>
      </w:r>
      <w:r w:rsidR="00B36D54" w:rsidRPr="00AF2271">
        <w:rPr>
          <w:rFonts w:eastAsiaTheme="minorHAnsi"/>
          <w:color w:val="000000"/>
          <w:lang w:eastAsia="en-US"/>
        </w:rPr>
        <w:t xml:space="preserve"> stały</w:t>
      </w:r>
      <w:r w:rsidRPr="00AF2271">
        <w:rPr>
          <w:rFonts w:eastAsiaTheme="minorHAnsi"/>
          <w:color w:val="000000"/>
          <w:lang w:eastAsia="en-US"/>
        </w:rPr>
        <w:t xml:space="preserve">. </w:t>
      </w:r>
    </w:p>
    <w:p w14:paraId="78FFFC26" w14:textId="64AB5DE4" w:rsidR="00F54DE6" w:rsidRPr="00AF2271" w:rsidRDefault="00F54DE6" w:rsidP="00967F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"/>
        <w:ind w:left="284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Złożenie </w:t>
      </w:r>
      <w:r w:rsidR="000F6CB3" w:rsidRPr="00AF2271">
        <w:rPr>
          <w:rFonts w:eastAsiaTheme="minorHAnsi"/>
          <w:color w:val="000000"/>
          <w:lang w:eastAsia="en-US"/>
        </w:rPr>
        <w:t xml:space="preserve">zlecenia realizacji wykonania transakcji w przyszłości </w:t>
      </w:r>
      <w:r w:rsidRPr="00AF2271">
        <w:rPr>
          <w:rFonts w:eastAsiaTheme="minorHAnsi"/>
          <w:color w:val="000000"/>
          <w:lang w:eastAsia="en-US"/>
        </w:rPr>
        <w:t xml:space="preserve">nie wymaga dokonania dodatkowej autoryzacji przez </w:t>
      </w:r>
      <w:r w:rsidR="000F6CB3" w:rsidRPr="00F023A7">
        <w:rPr>
          <w:rFonts w:eastAsiaTheme="minorHAnsi"/>
          <w:color w:val="000000"/>
          <w:lang w:eastAsia="en-US"/>
        </w:rPr>
        <w:t>u</w:t>
      </w:r>
      <w:r w:rsidRPr="00F023A7">
        <w:rPr>
          <w:rFonts w:eastAsiaTheme="minorHAnsi"/>
          <w:color w:val="000000"/>
          <w:lang w:eastAsia="en-US"/>
        </w:rPr>
        <w:t>żytkownika</w:t>
      </w:r>
      <w:r w:rsidR="000F6CB3" w:rsidRPr="00AF2271">
        <w:rPr>
          <w:rFonts w:eastAsiaTheme="minorHAnsi"/>
          <w:color w:val="000000"/>
          <w:lang w:eastAsia="en-US"/>
        </w:rPr>
        <w:t xml:space="preserve">, z zastrzeżeniem </w:t>
      </w:r>
      <w:r w:rsidR="00161D46" w:rsidRPr="00AF2271">
        <w:rPr>
          <w:rFonts w:eastAsiaTheme="minorHAnsi"/>
          <w:bCs/>
          <w:color w:val="000000"/>
          <w:lang w:eastAsia="en-US"/>
        </w:rPr>
        <w:t>§</w:t>
      </w:r>
      <w:r w:rsidR="00CC5E53" w:rsidRPr="00AF2271">
        <w:rPr>
          <w:rFonts w:eastAsiaTheme="minorHAnsi"/>
          <w:bCs/>
          <w:color w:val="000000"/>
          <w:lang w:eastAsia="en-US"/>
        </w:rPr>
        <w:t xml:space="preserve"> </w:t>
      </w:r>
      <w:r w:rsidR="00161D46" w:rsidRPr="00AF2271">
        <w:rPr>
          <w:rFonts w:eastAsiaTheme="minorHAnsi"/>
          <w:bCs/>
          <w:color w:val="000000"/>
          <w:lang w:eastAsia="en-US"/>
        </w:rPr>
        <w:t>5</w:t>
      </w:r>
      <w:r w:rsidR="000F6CB3" w:rsidRPr="00AF2271">
        <w:rPr>
          <w:rFonts w:eastAsiaTheme="minorHAnsi"/>
          <w:color w:val="000000"/>
          <w:lang w:eastAsia="en-US"/>
        </w:rPr>
        <w:t xml:space="preserve"> ust 4</w:t>
      </w:r>
      <w:r w:rsidRPr="00AF2271">
        <w:rPr>
          <w:rFonts w:eastAsiaTheme="minorHAnsi"/>
          <w:color w:val="000000"/>
          <w:lang w:eastAsia="en-US"/>
        </w:rPr>
        <w:t xml:space="preserve">. </w:t>
      </w:r>
    </w:p>
    <w:p w14:paraId="0F793E29" w14:textId="2BC44577" w:rsidR="00F54DE6" w:rsidRPr="00AF2271" w:rsidRDefault="00F54DE6" w:rsidP="00967F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"/>
        <w:ind w:left="284"/>
        <w:jc w:val="both"/>
        <w:rPr>
          <w:rFonts w:eastAsiaTheme="minorHAnsi"/>
          <w:color w:val="000000"/>
          <w:lang w:eastAsia="en-US"/>
        </w:rPr>
      </w:pPr>
      <w:r w:rsidRPr="00F023A7">
        <w:rPr>
          <w:rFonts w:eastAsiaTheme="minorHAnsi"/>
          <w:color w:val="000000"/>
          <w:lang w:eastAsia="en-US"/>
        </w:rPr>
        <w:t>Użytkownik</w:t>
      </w:r>
      <w:r w:rsidRPr="00AF2271">
        <w:rPr>
          <w:rFonts w:eastAsiaTheme="minorHAnsi"/>
          <w:color w:val="000000"/>
          <w:lang w:eastAsia="en-US"/>
        </w:rPr>
        <w:t xml:space="preserve"> pozostaje związany </w:t>
      </w:r>
      <w:r w:rsidR="000F6CB3" w:rsidRPr="00AF2271">
        <w:rPr>
          <w:rFonts w:eastAsiaTheme="minorHAnsi"/>
          <w:color w:val="000000"/>
          <w:lang w:eastAsia="en-US"/>
        </w:rPr>
        <w:t xml:space="preserve">zleceniem wykonania transakcji w przyszłości </w:t>
      </w:r>
      <w:r w:rsidRPr="00AF2271">
        <w:rPr>
          <w:rFonts w:eastAsiaTheme="minorHAnsi"/>
          <w:color w:val="000000"/>
          <w:lang w:eastAsia="en-US"/>
        </w:rPr>
        <w:t xml:space="preserve">do momentu jej przyjęcia przez </w:t>
      </w:r>
      <w:r w:rsidR="00532A51">
        <w:rPr>
          <w:rFonts w:eastAsiaTheme="minorHAnsi"/>
          <w:color w:val="000000"/>
          <w:lang w:eastAsia="en-US"/>
        </w:rPr>
        <w:t>b</w:t>
      </w:r>
      <w:r w:rsidRPr="00AF2271">
        <w:rPr>
          <w:rFonts w:eastAsiaTheme="minorHAnsi"/>
          <w:color w:val="000000"/>
          <w:lang w:eastAsia="en-US"/>
        </w:rPr>
        <w:t xml:space="preserve">ank </w:t>
      </w:r>
      <w:r w:rsidR="000F6CB3" w:rsidRPr="00AF2271">
        <w:rPr>
          <w:rFonts w:eastAsiaTheme="minorHAnsi"/>
          <w:color w:val="000000"/>
          <w:lang w:eastAsia="en-US"/>
        </w:rPr>
        <w:t xml:space="preserve">na podstawie wskazanego kursu, o którym mowa </w:t>
      </w:r>
      <w:r w:rsidR="00CC5E53" w:rsidRPr="00AF2271">
        <w:rPr>
          <w:rFonts w:eastAsiaTheme="minorHAnsi"/>
          <w:color w:val="000000"/>
          <w:lang w:eastAsia="en-US"/>
        </w:rPr>
        <w:br/>
      </w:r>
      <w:r w:rsidR="000F6CB3" w:rsidRPr="00AF2271">
        <w:rPr>
          <w:rFonts w:eastAsiaTheme="minorHAnsi"/>
          <w:color w:val="000000"/>
          <w:lang w:eastAsia="en-US"/>
        </w:rPr>
        <w:t>w ust</w:t>
      </w:r>
      <w:r w:rsidR="00CC5E53" w:rsidRPr="00AF2271">
        <w:rPr>
          <w:rFonts w:eastAsiaTheme="minorHAnsi"/>
          <w:color w:val="000000"/>
          <w:lang w:eastAsia="en-US"/>
        </w:rPr>
        <w:t>.</w:t>
      </w:r>
      <w:r w:rsidR="000F6CB3" w:rsidRPr="00AF2271">
        <w:rPr>
          <w:rFonts w:eastAsiaTheme="minorHAnsi"/>
          <w:color w:val="000000"/>
          <w:lang w:eastAsia="en-US"/>
        </w:rPr>
        <w:t xml:space="preserve"> </w:t>
      </w:r>
      <w:r w:rsidR="008B7715" w:rsidRPr="00AF2271">
        <w:rPr>
          <w:rFonts w:eastAsiaTheme="minorHAnsi"/>
          <w:color w:val="000000"/>
          <w:lang w:eastAsia="en-US"/>
        </w:rPr>
        <w:t>1</w:t>
      </w:r>
      <w:r w:rsidR="000F6CB3" w:rsidRPr="00AF2271">
        <w:rPr>
          <w:rFonts w:eastAsiaTheme="minorHAnsi"/>
          <w:color w:val="000000"/>
          <w:lang w:eastAsia="en-US"/>
        </w:rPr>
        <w:t xml:space="preserve"> pkt 2 </w:t>
      </w:r>
      <w:r w:rsidRPr="00AF2271">
        <w:rPr>
          <w:rFonts w:eastAsiaTheme="minorHAnsi"/>
          <w:color w:val="000000"/>
          <w:lang w:eastAsia="en-US"/>
        </w:rPr>
        <w:t>lub upływu terminu jej ważności</w:t>
      </w:r>
      <w:r w:rsidR="0095304B" w:rsidRPr="00AF2271">
        <w:rPr>
          <w:rFonts w:eastAsiaTheme="minorHAnsi"/>
          <w:color w:val="000000"/>
          <w:lang w:eastAsia="en-US"/>
        </w:rPr>
        <w:t>, chyba że zlecenie zostanie odwołane</w:t>
      </w:r>
      <w:r w:rsidRPr="00AF2271">
        <w:rPr>
          <w:rFonts w:eastAsiaTheme="minorHAnsi"/>
          <w:color w:val="000000"/>
          <w:lang w:eastAsia="en-US"/>
        </w:rPr>
        <w:t xml:space="preserve">. </w:t>
      </w:r>
    </w:p>
    <w:p w14:paraId="39526437" w14:textId="35AD4EB5" w:rsidR="000F6CB3" w:rsidRDefault="000F6CB3" w:rsidP="00967F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"/>
        <w:ind w:left="284"/>
        <w:jc w:val="both"/>
        <w:rPr>
          <w:rFonts w:eastAsiaTheme="minorHAnsi"/>
          <w:color w:val="000000"/>
          <w:lang w:eastAsia="en-US"/>
        </w:rPr>
      </w:pPr>
      <w:r w:rsidRPr="00AF2271">
        <w:rPr>
          <w:rFonts w:eastAsiaTheme="minorHAnsi"/>
          <w:color w:val="000000"/>
          <w:lang w:eastAsia="en-US"/>
        </w:rPr>
        <w:t xml:space="preserve">Realizacja zlecenia transakcji, o którym mowa w ust. 2 następuje w momencie osiągnięcia </w:t>
      </w:r>
      <w:r w:rsidR="001256FE" w:rsidRPr="00AF2271">
        <w:rPr>
          <w:rFonts w:eastAsiaTheme="minorHAnsi"/>
          <w:color w:val="000000"/>
          <w:lang w:eastAsia="en-US"/>
        </w:rPr>
        <w:t xml:space="preserve">poziomu </w:t>
      </w:r>
      <w:r w:rsidRPr="00AF2271">
        <w:rPr>
          <w:rFonts w:eastAsiaTheme="minorHAnsi"/>
          <w:color w:val="000000"/>
          <w:lang w:eastAsia="en-US"/>
        </w:rPr>
        <w:t xml:space="preserve">kursu wskazanego </w:t>
      </w:r>
      <w:r w:rsidR="00705FB0" w:rsidRPr="00AF2271">
        <w:rPr>
          <w:rFonts w:eastAsiaTheme="minorHAnsi"/>
          <w:color w:val="000000"/>
          <w:lang w:eastAsia="en-US"/>
        </w:rPr>
        <w:t xml:space="preserve">lub korzystniejszego dla klienta </w:t>
      </w:r>
      <w:r w:rsidRPr="00AF2271">
        <w:rPr>
          <w:rFonts w:eastAsiaTheme="minorHAnsi"/>
          <w:color w:val="000000"/>
          <w:lang w:eastAsia="en-US"/>
        </w:rPr>
        <w:t xml:space="preserve">do realizacji </w:t>
      </w:r>
      <w:r w:rsidR="001256FE" w:rsidRPr="00AF2271">
        <w:rPr>
          <w:rFonts w:eastAsiaTheme="minorHAnsi"/>
          <w:color w:val="000000"/>
          <w:lang w:eastAsia="en-US"/>
        </w:rPr>
        <w:t xml:space="preserve">rodzaju </w:t>
      </w:r>
      <w:r w:rsidRPr="00AF2271">
        <w:rPr>
          <w:rFonts w:eastAsiaTheme="minorHAnsi"/>
          <w:color w:val="000000"/>
          <w:lang w:eastAsia="en-US"/>
        </w:rPr>
        <w:t xml:space="preserve">transakcji </w:t>
      </w:r>
      <w:r w:rsidR="001256FE" w:rsidRPr="00AF2271">
        <w:rPr>
          <w:rFonts w:eastAsiaTheme="minorHAnsi"/>
          <w:color w:val="000000"/>
          <w:lang w:eastAsia="en-US"/>
        </w:rPr>
        <w:t xml:space="preserve">i pary walutowej </w:t>
      </w:r>
      <w:r w:rsidRPr="00AF2271">
        <w:rPr>
          <w:rFonts w:eastAsiaTheme="minorHAnsi"/>
          <w:color w:val="000000"/>
          <w:lang w:eastAsia="en-US"/>
        </w:rPr>
        <w:t xml:space="preserve">przez </w:t>
      </w:r>
      <w:r w:rsidRPr="00F023A7">
        <w:rPr>
          <w:rFonts w:eastAsiaTheme="minorHAnsi"/>
          <w:color w:val="000000"/>
          <w:lang w:eastAsia="en-US"/>
        </w:rPr>
        <w:t>użytkownika</w:t>
      </w:r>
      <w:r w:rsidR="008B7715" w:rsidRPr="00AF2271">
        <w:rPr>
          <w:rFonts w:eastAsiaTheme="minorHAnsi"/>
          <w:color w:val="000000"/>
          <w:lang w:eastAsia="en-US"/>
        </w:rPr>
        <w:t>,</w:t>
      </w:r>
      <w:r w:rsidRPr="00AF2271">
        <w:rPr>
          <w:rFonts w:eastAsiaTheme="minorHAnsi"/>
          <w:color w:val="000000"/>
          <w:lang w:eastAsia="en-US"/>
        </w:rPr>
        <w:t xml:space="preserve"> pod warunkiem posiadania w tym momencie środków dostępnych na rachunku obciążanym, w kwocie zleconej transakcji przeliczonej po wskazanym przez </w:t>
      </w:r>
      <w:r w:rsidRPr="00F023A7">
        <w:rPr>
          <w:rFonts w:eastAsiaTheme="minorHAnsi"/>
          <w:color w:val="000000"/>
          <w:lang w:eastAsia="en-US"/>
        </w:rPr>
        <w:t>użytkownika</w:t>
      </w:r>
      <w:r w:rsidRPr="00AF2271">
        <w:rPr>
          <w:rFonts w:eastAsiaTheme="minorHAnsi"/>
          <w:color w:val="000000"/>
          <w:lang w:eastAsia="en-US"/>
        </w:rPr>
        <w:t xml:space="preserve"> kursie.</w:t>
      </w:r>
    </w:p>
    <w:p w14:paraId="483FFAAE" w14:textId="5980BC93" w:rsidR="006F7E46" w:rsidRPr="00AF2271" w:rsidRDefault="006F7E46" w:rsidP="00967F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"/>
        <w:ind w:left="28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Odwołanie zlecenia </w:t>
      </w:r>
      <w:r w:rsidRPr="005616C4">
        <w:rPr>
          <w:rFonts w:eastAsiaTheme="minorHAnsi"/>
          <w:color w:val="000000"/>
          <w:lang w:eastAsia="en-US"/>
        </w:rPr>
        <w:t>realizacj</w:t>
      </w:r>
      <w:r>
        <w:rPr>
          <w:rFonts w:eastAsiaTheme="minorHAnsi"/>
          <w:color w:val="000000"/>
          <w:lang w:eastAsia="en-US"/>
        </w:rPr>
        <w:t>i</w:t>
      </w:r>
      <w:r w:rsidRPr="005616C4">
        <w:rPr>
          <w:rFonts w:eastAsiaTheme="minorHAnsi"/>
          <w:color w:val="000000"/>
          <w:lang w:eastAsia="en-US"/>
        </w:rPr>
        <w:t xml:space="preserve"> wykonania transakcji w przyszłości</w:t>
      </w:r>
      <w:r>
        <w:rPr>
          <w:rFonts w:eastAsiaTheme="minorHAnsi"/>
          <w:color w:val="000000"/>
          <w:lang w:eastAsia="en-US"/>
        </w:rPr>
        <w:t>, o której mowa w ust 2 może nastąpić przez każdego użytkownika usługi przed osiągnięciem poziomu kursu wskazanego do realizacji rodzaju transakcji wskazanego w ww. zleceniu.</w:t>
      </w:r>
    </w:p>
    <w:p w14:paraId="28DB6A19" w14:textId="77777777" w:rsidR="00761CBF" w:rsidRPr="00AF2271" w:rsidRDefault="001256FE" w:rsidP="008D7FAA">
      <w:pPr>
        <w:pStyle w:val="Tekstpodstawowywcity"/>
        <w:spacing w:before="240"/>
        <w:ind w:left="-142" w:hanging="284"/>
        <w:jc w:val="center"/>
        <w:rPr>
          <w:lang w:val="pl-PL"/>
        </w:rPr>
      </w:pPr>
      <w:r w:rsidRPr="00AF2271">
        <w:rPr>
          <w:lang w:val="pl-PL"/>
        </w:rPr>
        <w:t xml:space="preserve">§ </w:t>
      </w:r>
      <w:r w:rsidR="00161D46" w:rsidRPr="00AF2271">
        <w:rPr>
          <w:lang w:val="pl-PL"/>
        </w:rPr>
        <w:t>8</w:t>
      </w:r>
    </w:p>
    <w:p w14:paraId="04820BF0" w14:textId="77777777" w:rsidR="0043434D" w:rsidRPr="00AF2271" w:rsidRDefault="00761CBF" w:rsidP="0043434D">
      <w:pPr>
        <w:pStyle w:val="Tekstpodstawowywcity"/>
        <w:numPr>
          <w:ilvl w:val="0"/>
          <w:numId w:val="16"/>
        </w:numPr>
        <w:spacing w:after="0"/>
        <w:ind w:left="284" w:hanging="284"/>
        <w:jc w:val="both"/>
        <w:rPr>
          <w:lang w:val="pl-PL"/>
        </w:rPr>
      </w:pPr>
      <w:r w:rsidRPr="00AF2271">
        <w:rPr>
          <w:lang w:val="pl-PL"/>
        </w:rPr>
        <w:t xml:space="preserve">Z zastrzeżeniem ust. </w:t>
      </w:r>
      <w:r w:rsidR="0043434D" w:rsidRPr="00AF2271">
        <w:rPr>
          <w:lang w:val="pl-PL"/>
        </w:rPr>
        <w:t>3</w:t>
      </w:r>
      <w:r w:rsidRPr="00AF2271">
        <w:rPr>
          <w:lang w:val="pl-PL"/>
        </w:rPr>
        <w:t xml:space="preserve">, w </w:t>
      </w:r>
      <w:r w:rsidR="00DD078B" w:rsidRPr="00AF2271">
        <w:rPr>
          <w:lang w:val="pl-PL"/>
        </w:rPr>
        <w:t>K</w:t>
      </w:r>
      <w:r w:rsidRPr="00AF2271">
        <w:rPr>
          <w:lang w:val="pl-PL"/>
        </w:rPr>
        <w:t>antorze</w:t>
      </w:r>
      <w:r w:rsidR="00DD078B" w:rsidRPr="00AF2271">
        <w:rPr>
          <w:lang w:val="pl-PL"/>
        </w:rPr>
        <w:t xml:space="preserve"> SGB</w:t>
      </w:r>
      <w:r w:rsidRPr="00AF2271">
        <w:rPr>
          <w:lang w:val="pl-PL"/>
        </w:rPr>
        <w:t xml:space="preserve"> udostępnione są informacje</w:t>
      </w:r>
      <w:r w:rsidR="0043434D" w:rsidRPr="00AF2271">
        <w:rPr>
          <w:lang w:val="pl-PL"/>
        </w:rPr>
        <w:t xml:space="preserve"> o transakcjach:</w:t>
      </w:r>
    </w:p>
    <w:p w14:paraId="0C10BB46" w14:textId="77777777" w:rsidR="0043434D" w:rsidRPr="00AF2271" w:rsidRDefault="0043434D" w:rsidP="0043434D">
      <w:pPr>
        <w:pStyle w:val="Tekstpodstawowywcity"/>
        <w:numPr>
          <w:ilvl w:val="1"/>
          <w:numId w:val="6"/>
        </w:numPr>
        <w:spacing w:after="0"/>
        <w:ind w:left="567" w:hanging="283"/>
        <w:jc w:val="both"/>
        <w:rPr>
          <w:lang w:val="pl-PL"/>
        </w:rPr>
      </w:pPr>
      <w:r w:rsidRPr="00AF2271">
        <w:rPr>
          <w:lang w:val="pl-PL"/>
        </w:rPr>
        <w:t xml:space="preserve">zrealizowanych, w szczególności informacje: </w:t>
      </w:r>
    </w:p>
    <w:p w14:paraId="78ED3209" w14:textId="77777777" w:rsidR="00761CBF" w:rsidRPr="00AF2271" w:rsidRDefault="002F0565" w:rsidP="00705FB0">
      <w:pPr>
        <w:pStyle w:val="Tekstpodstawowywcity"/>
        <w:numPr>
          <w:ilvl w:val="1"/>
          <w:numId w:val="17"/>
        </w:numPr>
        <w:spacing w:after="0"/>
        <w:ind w:left="993"/>
        <w:jc w:val="both"/>
        <w:rPr>
          <w:lang w:val="pl-PL"/>
        </w:rPr>
      </w:pPr>
      <w:r w:rsidRPr="00AF2271">
        <w:rPr>
          <w:lang w:val="pl-PL"/>
        </w:rPr>
        <w:t>umożliwiające k</w:t>
      </w:r>
      <w:r w:rsidR="00761CBF" w:rsidRPr="00AF2271">
        <w:rPr>
          <w:lang w:val="pl-PL"/>
        </w:rPr>
        <w:t xml:space="preserve">lientowi zidentyfikowanie transakcji, </w:t>
      </w:r>
    </w:p>
    <w:p w14:paraId="3EA579A8" w14:textId="77777777" w:rsidR="00761CBF" w:rsidRPr="00AF2271" w:rsidRDefault="00761CBF" w:rsidP="00705FB0">
      <w:pPr>
        <w:pStyle w:val="Tekstpodstawowywcity"/>
        <w:numPr>
          <w:ilvl w:val="1"/>
          <w:numId w:val="17"/>
        </w:numPr>
        <w:spacing w:after="0"/>
        <w:ind w:left="993"/>
        <w:jc w:val="both"/>
        <w:rPr>
          <w:lang w:val="pl-PL"/>
        </w:rPr>
      </w:pPr>
      <w:r w:rsidRPr="00AF2271">
        <w:rPr>
          <w:lang w:val="pl-PL"/>
        </w:rPr>
        <w:t xml:space="preserve">dotyczące rachunków służących do rozliczenia transakcji, </w:t>
      </w:r>
    </w:p>
    <w:p w14:paraId="6D38FB91" w14:textId="77777777" w:rsidR="00761CBF" w:rsidRPr="00AF2271" w:rsidRDefault="00761CBF" w:rsidP="00705FB0">
      <w:pPr>
        <w:pStyle w:val="Tekstpodstawowywcity"/>
        <w:numPr>
          <w:ilvl w:val="1"/>
          <w:numId w:val="17"/>
        </w:numPr>
        <w:spacing w:after="0"/>
        <w:ind w:left="993"/>
        <w:jc w:val="both"/>
        <w:rPr>
          <w:lang w:val="pl-PL"/>
        </w:rPr>
      </w:pPr>
      <w:r w:rsidRPr="00AF2271">
        <w:rPr>
          <w:lang w:val="pl-PL"/>
        </w:rPr>
        <w:t xml:space="preserve">o kwocie transakcji wraz z kursem walutowym, jaki był stosowany w transakcji oraz kwotę transakcji po przeliczeniu walut, </w:t>
      </w:r>
    </w:p>
    <w:p w14:paraId="3E17EC34" w14:textId="77777777" w:rsidR="001256FE" w:rsidRPr="00AF2271" w:rsidRDefault="00761CBF" w:rsidP="00705FB0">
      <w:pPr>
        <w:pStyle w:val="Tekstpodstawowywcity"/>
        <w:numPr>
          <w:ilvl w:val="1"/>
          <w:numId w:val="17"/>
        </w:numPr>
        <w:spacing w:after="0"/>
        <w:ind w:left="993"/>
        <w:jc w:val="both"/>
        <w:rPr>
          <w:lang w:val="pl-PL"/>
        </w:rPr>
      </w:pPr>
      <w:r w:rsidRPr="00AF2271">
        <w:rPr>
          <w:lang w:val="pl-PL"/>
        </w:rPr>
        <w:t>o dacie transakcji</w:t>
      </w:r>
      <w:r w:rsidR="00CC5E53" w:rsidRPr="00AF2271">
        <w:rPr>
          <w:lang w:val="pl-PL"/>
        </w:rPr>
        <w:t>;</w:t>
      </w:r>
    </w:p>
    <w:p w14:paraId="36CD4A8D" w14:textId="28E43EEE" w:rsidR="0043434D" w:rsidRPr="00AF2271" w:rsidRDefault="0043434D" w:rsidP="00705FB0">
      <w:pPr>
        <w:pStyle w:val="Tekstpodstawowywcity"/>
        <w:numPr>
          <w:ilvl w:val="0"/>
          <w:numId w:val="17"/>
        </w:numPr>
        <w:spacing w:after="0"/>
        <w:ind w:left="709"/>
        <w:jc w:val="both"/>
        <w:rPr>
          <w:lang w:val="pl-PL"/>
        </w:rPr>
      </w:pPr>
      <w:r w:rsidRPr="00AF2271">
        <w:rPr>
          <w:lang w:val="pl-PL"/>
        </w:rPr>
        <w:t xml:space="preserve">otwartych </w:t>
      </w:r>
      <w:r w:rsidR="001256FE" w:rsidRPr="00AF2271">
        <w:rPr>
          <w:lang w:val="pl-PL"/>
        </w:rPr>
        <w:t xml:space="preserve">zleceniach </w:t>
      </w:r>
      <w:r w:rsidRPr="00AF2271">
        <w:rPr>
          <w:rFonts w:eastAsiaTheme="minorHAnsi"/>
          <w:color w:val="000000"/>
          <w:lang w:eastAsia="en-US"/>
        </w:rPr>
        <w:t>wykonania transakcji w przyszłości</w:t>
      </w:r>
      <w:r w:rsidRPr="00AF2271">
        <w:rPr>
          <w:rFonts w:eastAsiaTheme="minorHAnsi"/>
          <w:color w:val="000000"/>
          <w:lang w:val="pl-PL" w:eastAsia="en-US"/>
        </w:rPr>
        <w:t>,</w:t>
      </w:r>
    </w:p>
    <w:p w14:paraId="7CB1DDE2" w14:textId="77777777" w:rsidR="0043434D" w:rsidRPr="00AF2271" w:rsidRDefault="0043434D" w:rsidP="00705FB0">
      <w:pPr>
        <w:pStyle w:val="Tekstpodstawowywcity"/>
        <w:numPr>
          <w:ilvl w:val="0"/>
          <w:numId w:val="17"/>
        </w:numPr>
        <w:spacing w:after="0"/>
        <w:ind w:left="709"/>
        <w:jc w:val="both"/>
        <w:rPr>
          <w:lang w:val="pl-PL"/>
        </w:rPr>
      </w:pPr>
      <w:r w:rsidRPr="00AF2271">
        <w:rPr>
          <w:lang w:val="pl-PL"/>
        </w:rPr>
        <w:t>niewykonanych</w:t>
      </w:r>
      <w:r w:rsidR="00705FB0" w:rsidRPr="00AF2271">
        <w:rPr>
          <w:lang w:val="pl-PL"/>
        </w:rPr>
        <w:t>:</w:t>
      </w:r>
      <w:r w:rsidRPr="00AF2271">
        <w:rPr>
          <w:lang w:val="pl-PL"/>
        </w:rPr>
        <w:t xml:space="preserve"> </w:t>
      </w:r>
    </w:p>
    <w:p w14:paraId="4E9A1F10" w14:textId="77777777" w:rsidR="001256FE" w:rsidRPr="00AF2271" w:rsidRDefault="0043434D" w:rsidP="00705FB0">
      <w:pPr>
        <w:pStyle w:val="Tekstpodstawowywcity"/>
        <w:numPr>
          <w:ilvl w:val="1"/>
          <w:numId w:val="17"/>
        </w:numPr>
        <w:spacing w:after="0"/>
        <w:ind w:left="1134"/>
        <w:jc w:val="both"/>
        <w:rPr>
          <w:lang w:val="pl-PL"/>
        </w:rPr>
      </w:pPr>
      <w:r w:rsidRPr="00AF2271">
        <w:rPr>
          <w:lang w:val="pl-PL"/>
        </w:rPr>
        <w:t xml:space="preserve">zleceniach </w:t>
      </w:r>
      <w:r w:rsidRPr="00AF2271">
        <w:rPr>
          <w:rFonts w:eastAsiaTheme="minorHAnsi"/>
          <w:color w:val="000000"/>
          <w:lang w:eastAsia="en-US"/>
        </w:rPr>
        <w:t>wykonania transakcji w przyszłości</w:t>
      </w:r>
      <w:r w:rsidR="001256FE" w:rsidRPr="00AF2271">
        <w:rPr>
          <w:lang w:val="pl-PL"/>
        </w:rPr>
        <w:t xml:space="preserve"> </w:t>
      </w:r>
      <w:r w:rsidRPr="00AF2271">
        <w:rPr>
          <w:lang w:val="pl-PL"/>
        </w:rPr>
        <w:t>niezrealizowanych z uwagi na upływ terminu zlecenia</w:t>
      </w:r>
      <w:r w:rsidR="0095304B" w:rsidRPr="00AF2271">
        <w:rPr>
          <w:lang w:val="pl-PL"/>
        </w:rPr>
        <w:t>,</w:t>
      </w:r>
    </w:p>
    <w:p w14:paraId="09A67B50" w14:textId="33D38D34" w:rsidR="0043434D" w:rsidRPr="00AF2271" w:rsidRDefault="00EB2D27" w:rsidP="00705FB0">
      <w:pPr>
        <w:pStyle w:val="Tekstpodstawowywcity"/>
        <w:numPr>
          <w:ilvl w:val="1"/>
          <w:numId w:val="17"/>
        </w:numPr>
        <w:spacing w:after="0"/>
        <w:ind w:left="1134"/>
        <w:jc w:val="both"/>
        <w:rPr>
          <w:lang w:val="pl-PL"/>
        </w:rPr>
      </w:pPr>
      <w:r w:rsidRPr="00AF2271">
        <w:rPr>
          <w:lang w:val="pl-PL"/>
        </w:rPr>
        <w:t xml:space="preserve">zleceniach odwołanych </w:t>
      </w:r>
      <w:r w:rsidR="00332DE7" w:rsidRPr="00AF2271">
        <w:rPr>
          <w:lang w:val="pl-PL"/>
        </w:rPr>
        <w:t xml:space="preserve">(anulowanych) </w:t>
      </w:r>
      <w:r w:rsidR="0043434D" w:rsidRPr="00AF2271">
        <w:rPr>
          <w:lang w:val="pl-PL"/>
        </w:rPr>
        <w:t xml:space="preserve">przez </w:t>
      </w:r>
      <w:r w:rsidR="0043434D" w:rsidRPr="00F023A7">
        <w:rPr>
          <w:lang w:val="pl-PL"/>
        </w:rPr>
        <w:t>użytkownika</w:t>
      </w:r>
      <w:r w:rsidR="0095304B" w:rsidRPr="00AF2271">
        <w:rPr>
          <w:lang w:val="pl-PL"/>
        </w:rPr>
        <w:t>.</w:t>
      </w:r>
    </w:p>
    <w:p w14:paraId="52D55F03" w14:textId="77777777" w:rsidR="00761CBF" w:rsidRPr="00AF2271" w:rsidRDefault="00761CBF" w:rsidP="0043434D">
      <w:pPr>
        <w:pStyle w:val="Tekstpodstawowywcity"/>
        <w:numPr>
          <w:ilvl w:val="0"/>
          <w:numId w:val="16"/>
        </w:numPr>
        <w:spacing w:after="0"/>
        <w:jc w:val="both"/>
        <w:rPr>
          <w:lang w:val="pl-PL"/>
        </w:rPr>
      </w:pPr>
      <w:r w:rsidRPr="00AF2271">
        <w:rPr>
          <w:lang w:val="pl-PL"/>
        </w:rPr>
        <w:t xml:space="preserve">Informacje o wszystkich transakcjach zawartych w </w:t>
      </w:r>
      <w:r w:rsidR="00705FB0" w:rsidRPr="00AF2271">
        <w:rPr>
          <w:lang w:val="pl-PL"/>
        </w:rPr>
        <w:t xml:space="preserve">Kantorze SGB </w:t>
      </w:r>
      <w:r w:rsidRPr="00AF2271">
        <w:rPr>
          <w:lang w:val="pl-PL"/>
        </w:rPr>
        <w:t>rozliczonych przez wskazany rachunek, dostępne są w historii tego rachunku w serwisie internetowy</w:t>
      </w:r>
      <w:r w:rsidR="002F0565" w:rsidRPr="00AF2271">
        <w:rPr>
          <w:lang w:val="pl-PL"/>
        </w:rPr>
        <w:t>m</w:t>
      </w:r>
      <w:r w:rsidRPr="00AF2271">
        <w:rPr>
          <w:lang w:val="pl-PL"/>
        </w:rPr>
        <w:t xml:space="preserve">. </w:t>
      </w:r>
    </w:p>
    <w:p w14:paraId="5EAAE3B5" w14:textId="2B83A8BB" w:rsidR="001256FE" w:rsidRPr="00AF2271" w:rsidRDefault="00761CBF" w:rsidP="001256FE">
      <w:pPr>
        <w:pStyle w:val="Tekstpodstawowywcity"/>
        <w:spacing w:after="0"/>
        <w:ind w:left="284" w:hanging="284"/>
        <w:jc w:val="both"/>
        <w:rPr>
          <w:lang w:val="pl-PL"/>
        </w:rPr>
      </w:pPr>
      <w:r w:rsidRPr="00AF2271">
        <w:rPr>
          <w:lang w:val="pl-PL"/>
        </w:rPr>
        <w:t>3.  Bank dostarcza informacje</w:t>
      </w:r>
      <w:r w:rsidR="0050106F">
        <w:rPr>
          <w:lang w:val="pl-PL"/>
        </w:rPr>
        <w:t>,</w:t>
      </w:r>
      <w:r w:rsidRPr="00AF2271">
        <w:rPr>
          <w:lang w:val="pl-PL"/>
        </w:rPr>
        <w:t xml:space="preserve"> </w:t>
      </w:r>
      <w:r w:rsidR="0050106F" w:rsidRPr="00AF2271">
        <w:rPr>
          <w:lang w:val="pl-PL"/>
        </w:rPr>
        <w:t>o których mowa w ust. 1</w:t>
      </w:r>
      <w:r w:rsidR="0050106F">
        <w:rPr>
          <w:lang w:val="pl-PL"/>
        </w:rPr>
        <w:t xml:space="preserve"> </w:t>
      </w:r>
      <w:r w:rsidR="00344B1A">
        <w:rPr>
          <w:lang w:val="pl-PL"/>
        </w:rPr>
        <w:t xml:space="preserve">– 2 </w:t>
      </w:r>
      <w:r w:rsidR="0050106F">
        <w:rPr>
          <w:lang w:val="pl-PL"/>
        </w:rPr>
        <w:t>posiadaczowi,</w:t>
      </w:r>
      <w:r w:rsidR="00905EEB">
        <w:rPr>
          <w:lang w:val="pl-PL"/>
        </w:rPr>
        <w:t xml:space="preserve"> </w:t>
      </w:r>
      <w:r w:rsidRPr="00AF2271">
        <w:rPr>
          <w:lang w:val="pl-PL"/>
        </w:rPr>
        <w:t>okresowo</w:t>
      </w:r>
      <w:r w:rsidR="00705FB0" w:rsidRPr="00AF2271">
        <w:rPr>
          <w:lang w:val="pl-PL"/>
        </w:rPr>
        <w:t xml:space="preserve"> </w:t>
      </w:r>
      <w:r w:rsidRPr="00AF2271">
        <w:rPr>
          <w:lang w:val="pl-PL"/>
        </w:rPr>
        <w:t xml:space="preserve">, zgodnie z warunkami umów rachunków służących do rozliczenia transakcji. </w:t>
      </w:r>
    </w:p>
    <w:p w14:paraId="46A3B7E0" w14:textId="77777777" w:rsidR="0052197C" w:rsidRPr="00AF2271" w:rsidRDefault="00161D46" w:rsidP="00161D46">
      <w:pPr>
        <w:pStyle w:val="Tekstpodstawowywcity"/>
        <w:spacing w:after="0"/>
        <w:ind w:left="284" w:hanging="284"/>
        <w:jc w:val="center"/>
        <w:rPr>
          <w:lang w:val="pl-PL"/>
        </w:rPr>
      </w:pPr>
      <w:r w:rsidRPr="00AF2271">
        <w:rPr>
          <w:lang w:val="pl-PL"/>
        </w:rPr>
        <w:t>§</w:t>
      </w:r>
      <w:r w:rsidR="00CC5E53" w:rsidRPr="00AF2271">
        <w:rPr>
          <w:lang w:val="pl-PL"/>
        </w:rPr>
        <w:t xml:space="preserve"> </w:t>
      </w:r>
      <w:r w:rsidRPr="00AF2271">
        <w:rPr>
          <w:lang w:val="pl-PL"/>
        </w:rPr>
        <w:t>9</w:t>
      </w:r>
    </w:p>
    <w:p w14:paraId="11D1F0C8" w14:textId="77777777" w:rsidR="0052197C" w:rsidRPr="00AF2271" w:rsidRDefault="0052197C" w:rsidP="004E1AE2">
      <w:pPr>
        <w:pStyle w:val="Tekstpodstawowywcity"/>
        <w:spacing w:before="120"/>
        <w:ind w:left="-141" w:hanging="284"/>
        <w:jc w:val="center"/>
        <w:rPr>
          <w:b/>
          <w:lang w:val="pl-PL"/>
        </w:rPr>
      </w:pPr>
      <w:r w:rsidRPr="00AF2271">
        <w:rPr>
          <w:b/>
          <w:lang w:val="pl-PL"/>
        </w:rPr>
        <w:t>Opłaty i prowizje</w:t>
      </w:r>
    </w:p>
    <w:p w14:paraId="3E0EEB6B" w14:textId="071E18C1" w:rsidR="0052197C" w:rsidRPr="00AF2271" w:rsidRDefault="0052197C" w:rsidP="0052197C">
      <w:pPr>
        <w:pStyle w:val="Tekstpodstawowywcity"/>
        <w:spacing w:before="240"/>
        <w:ind w:left="0"/>
        <w:jc w:val="both"/>
        <w:rPr>
          <w:b/>
          <w:lang w:val="pl-PL"/>
        </w:rPr>
      </w:pPr>
      <w:r w:rsidRPr="00AF2271">
        <w:t xml:space="preserve">Za czynności związane ze świadczeniem usług określonych w umowie </w:t>
      </w:r>
      <w:r w:rsidR="00532A51">
        <w:rPr>
          <w:lang w:val="pl-PL"/>
        </w:rPr>
        <w:t>b</w:t>
      </w:r>
      <w:proofErr w:type="spellStart"/>
      <w:r w:rsidRPr="00AF2271">
        <w:t>ank</w:t>
      </w:r>
      <w:proofErr w:type="spellEnd"/>
      <w:r w:rsidRPr="00AF2271">
        <w:t xml:space="preserve"> pobiera opłaty </w:t>
      </w:r>
      <w:r w:rsidR="000E107F" w:rsidRPr="00AF2271">
        <w:br/>
      </w:r>
      <w:r w:rsidRPr="00AF2271">
        <w:t xml:space="preserve">i prowizje, zgodnie z obowiązującą w </w:t>
      </w:r>
      <w:r w:rsidR="00532A51">
        <w:rPr>
          <w:lang w:val="pl-PL"/>
        </w:rPr>
        <w:t>b</w:t>
      </w:r>
      <w:proofErr w:type="spellStart"/>
      <w:r w:rsidRPr="00AF2271">
        <w:t>anku</w:t>
      </w:r>
      <w:proofErr w:type="spellEnd"/>
      <w:r w:rsidRPr="00AF2271">
        <w:t xml:space="preserve"> taryfą</w:t>
      </w:r>
      <w:r w:rsidR="003137FC" w:rsidRPr="00AF2271">
        <w:rPr>
          <w:lang w:val="pl-PL"/>
        </w:rPr>
        <w:t>.</w:t>
      </w:r>
      <w:r w:rsidRPr="00AF2271">
        <w:t xml:space="preserve"> </w:t>
      </w:r>
    </w:p>
    <w:p w14:paraId="5D6A3BA4" w14:textId="77777777" w:rsidR="008E1305" w:rsidRPr="00AF2271" w:rsidRDefault="008E1305" w:rsidP="004E1AE2">
      <w:pPr>
        <w:pStyle w:val="Tekstpodstawowywcity"/>
        <w:spacing w:before="120"/>
        <w:ind w:left="284" w:hanging="284"/>
        <w:jc w:val="center"/>
        <w:rPr>
          <w:lang w:val="pl-PL"/>
        </w:rPr>
      </w:pPr>
      <w:r w:rsidRPr="00AF2271">
        <w:rPr>
          <w:lang w:val="pl-PL"/>
        </w:rPr>
        <w:t>§</w:t>
      </w:r>
      <w:r w:rsidR="00CC5E53" w:rsidRPr="00AF2271">
        <w:rPr>
          <w:lang w:val="pl-PL"/>
        </w:rPr>
        <w:t xml:space="preserve"> </w:t>
      </w:r>
      <w:r w:rsidRPr="00AF2271">
        <w:rPr>
          <w:lang w:val="pl-PL"/>
        </w:rPr>
        <w:t>10</w:t>
      </w:r>
    </w:p>
    <w:p w14:paraId="4F7EDF44" w14:textId="77777777" w:rsidR="008E1305" w:rsidRPr="00AF2271" w:rsidRDefault="008E1305" w:rsidP="004E1AE2">
      <w:pPr>
        <w:pStyle w:val="Tekstpodstawowywcity"/>
        <w:spacing w:before="120"/>
        <w:ind w:left="-142" w:hanging="284"/>
        <w:jc w:val="center"/>
        <w:rPr>
          <w:b/>
          <w:lang w:val="pl-PL"/>
        </w:rPr>
      </w:pPr>
      <w:r w:rsidRPr="00AF2271">
        <w:rPr>
          <w:b/>
          <w:lang w:val="pl-PL"/>
        </w:rPr>
        <w:t>Ograniczenia w korzystaniu z Kantoru SGB</w:t>
      </w:r>
    </w:p>
    <w:p w14:paraId="514801A1" w14:textId="77777777" w:rsidR="008E1305" w:rsidRDefault="008E1305" w:rsidP="008E1305">
      <w:pPr>
        <w:pStyle w:val="Tekstpodstawowywcity"/>
        <w:spacing w:after="0"/>
        <w:ind w:left="0"/>
        <w:jc w:val="both"/>
        <w:rPr>
          <w:lang w:val="pl-PL"/>
        </w:rPr>
      </w:pPr>
      <w:r w:rsidRPr="00AF2271">
        <w:t>Bank ma prawo częściowo ograniczyć lub zablokować dostęp do systemu i/lub czasowo zablokować wykonanie dyspozycji w  przypadkach</w:t>
      </w:r>
      <w:r w:rsidR="0048620B" w:rsidRPr="00AF2271">
        <w:rPr>
          <w:lang w:val="pl-PL"/>
        </w:rPr>
        <w:t xml:space="preserve"> opisanych w załączniku </w:t>
      </w:r>
      <w:r w:rsidR="000E107F" w:rsidRPr="00AF2271">
        <w:rPr>
          <w:lang w:val="pl-PL"/>
        </w:rPr>
        <w:t xml:space="preserve">nr 3 </w:t>
      </w:r>
      <w:r w:rsidR="0048620B" w:rsidRPr="00AF2271">
        <w:rPr>
          <w:lang w:val="pl-PL"/>
        </w:rPr>
        <w:t>do regulaminu ,,</w:t>
      </w:r>
      <w:r w:rsidR="0048620B" w:rsidRPr="00AF2271">
        <w:t>Zasady udostępniania i funkcjonowania</w:t>
      </w:r>
      <w:r w:rsidR="0048620B" w:rsidRPr="0048620B">
        <w:t xml:space="preserve"> elektronicznych kanałów dostępu</w:t>
      </w:r>
      <w:r w:rsidR="0048620B" w:rsidRPr="0048620B">
        <w:rPr>
          <w:lang w:val="pl-PL"/>
        </w:rPr>
        <w:t>’’</w:t>
      </w:r>
      <w:r w:rsidR="000E107F">
        <w:rPr>
          <w:lang w:val="pl-PL"/>
        </w:rPr>
        <w:t>.</w:t>
      </w:r>
    </w:p>
    <w:p w14:paraId="6E21E7F4" w14:textId="77777777" w:rsidR="000E53B3" w:rsidRDefault="000E53B3" w:rsidP="008E1305">
      <w:pPr>
        <w:pStyle w:val="Tekstpodstawowywcity"/>
        <w:spacing w:after="0"/>
        <w:ind w:left="0"/>
        <w:jc w:val="both"/>
        <w:rPr>
          <w:lang w:val="pl-PL"/>
        </w:rPr>
      </w:pPr>
    </w:p>
    <w:p w14:paraId="5E191656" w14:textId="77777777" w:rsidR="00BE498B" w:rsidRPr="00DE301E" w:rsidRDefault="00BE498B" w:rsidP="00BE498B">
      <w:pPr>
        <w:pStyle w:val="Tekstpodstawowywcity"/>
        <w:ind w:left="0"/>
        <w:jc w:val="center"/>
        <w:rPr>
          <w:b/>
          <w:lang w:val="pl-PL"/>
        </w:rPr>
      </w:pPr>
      <w:r w:rsidRPr="00DE301E">
        <w:rPr>
          <w:b/>
          <w:lang w:val="pl-PL"/>
        </w:rPr>
        <w:t xml:space="preserve">Standardowe limity pojedynczej operacji oraz limity </w:t>
      </w:r>
    </w:p>
    <w:p w14:paraId="037AD25A" w14:textId="77777777" w:rsidR="00BE498B" w:rsidRPr="00BF0995" w:rsidRDefault="00BE498B" w:rsidP="00BE498B">
      <w:pPr>
        <w:pStyle w:val="Tekstpodstawowywcity"/>
        <w:ind w:left="0"/>
        <w:jc w:val="center"/>
        <w:rPr>
          <w:b/>
        </w:rPr>
      </w:pPr>
      <w:r w:rsidRPr="00DE301E">
        <w:rPr>
          <w:b/>
          <w:lang w:val="pl-PL"/>
        </w:rPr>
        <w:t>wszystkich operacji w ciągu dnia</w:t>
      </w:r>
      <w:r w:rsidRPr="00BF0995">
        <w:rPr>
          <w:b/>
          <w:lang w:val="pl-PL"/>
        </w:rPr>
        <w:t xml:space="preserve">   </w:t>
      </w:r>
    </w:p>
    <w:p w14:paraId="19E46E1C" w14:textId="77777777" w:rsidR="00BE498B" w:rsidRPr="00610CF8" w:rsidRDefault="00BE498B" w:rsidP="00BE498B">
      <w:pPr>
        <w:pStyle w:val="Tekstpodstawowywcity2"/>
        <w:spacing w:after="0" w:line="240" w:lineRule="auto"/>
        <w:ind w:left="0"/>
        <w:jc w:val="center"/>
      </w:pPr>
      <w:r w:rsidRPr="00610CF8">
        <w:t>§</w:t>
      </w:r>
      <w:r>
        <w:t>11</w:t>
      </w:r>
    </w:p>
    <w:p w14:paraId="6B60F07A" w14:textId="7841FBB9" w:rsidR="00BE498B" w:rsidRDefault="00BE498B" w:rsidP="00BE498B">
      <w:pPr>
        <w:pStyle w:val="Akapitzlist"/>
        <w:numPr>
          <w:ilvl w:val="0"/>
          <w:numId w:val="24"/>
        </w:numPr>
        <w:ind w:left="284" w:hanging="284"/>
        <w:jc w:val="both"/>
      </w:pPr>
      <w:r w:rsidRPr="00BC3914">
        <w:t>Standardowe limity pojedynczej operacji oraz limity wszystkich operacji w ciągu dnia dokonywanych za pośrednictwem bankowości elektronicznej</w:t>
      </w:r>
      <w:r>
        <w:t>, na rachunku (w jednostkach waluty)</w:t>
      </w:r>
      <w:r w:rsidRPr="00BC3914"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394"/>
      </w:tblGrid>
      <w:tr w:rsidR="00BE498B" w:rsidRPr="00C956E0" w14:paraId="4C75810A" w14:textId="77777777" w:rsidTr="00AC6375">
        <w:trPr>
          <w:trHeight w:val="842"/>
        </w:trPr>
        <w:tc>
          <w:tcPr>
            <w:tcW w:w="1418" w:type="dxa"/>
            <w:shd w:val="clear" w:color="auto" w:fill="DDDDDD"/>
          </w:tcPr>
          <w:p w14:paraId="065B8DD1" w14:textId="77777777" w:rsidR="00BE498B" w:rsidRPr="00A016E7" w:rsidRDefault="00BE498B" w:rsidP="00AC6375">
            <w:pPr>
              <w:pStyle w:val="Tekstpodstawowywcity"/>
              <w:spacing w:after="0"/>
              <w:ind w:left="0"/>
              <w:rPr>
                <w:b/>
                <w:lang w:val="pl-PL"/>
              </w:rPr>
            </w:pPr>
            <w:r w:rsidRPr="00A016E7">
              <w:rPr>
                <w:b/>
                <w:lang w:val="pl-PL"/>
              </w:rPr>
              <w:t>Waluta rachunku</w:t>
            </w:r>
          </w:p>
        </w:tc>
        <w:tc>
          <w:tcPr>
            <w:tcW w:w="3827" w:type="dxa"/>
            <w:shd w:val="clear" w:color="auto" w:fill="DDDDDD"/>
            <w:vAlign w:val="center"/>
          </w:tcPr>
          <w:p w14:paraId="015C4E37" w14:textId="77777777" w:rsidR="00BE498B" w:rsidRPr="00E15A63" w:rsidRDefault="00BE498B" w:rsidP="00AC6375">
            <w:pPr>
              <w:pStyle w:val="Tekstpodstawowywcity"/>
              <w:spacing w:after="0"/>
              <w:ind w:left="0"/>
              <w:jc w:val="center"/>
              <w:rPr>
                <w:b/>
                <w:highlight w:val="yellow"/>
                <w:lang w:val="pl-PL"/>
              </w:rPr>
            </w:pPr>
          </w:p>
          <w:p w14:paraId="4D31574C" w14:textId="77777777" w:rsidR="00BE498B" w:rsidRDefault="00BE498B" w:rsidP="00AC6375">
            <w:pPr>
              <w:pStyle w:val="Tekstpodstawowywcity"/>
              <w:spacing w:after="0"/>
              <w:ind w:left="0"/>
              <w:jc w:val="center"/>
              <w:rPr>
                <w:b/>
                <w:lang w:val="pl-PL"/>
              </w:rPr>
            </w:pPr>
            <w:r w:rsidRPr="00E15A63">
              <w:rPr>
                <w:b/>
                <w:lang w:val="pl-PL"/>
              </w:rPr>
              <w:t>Limit pojedynczej operacji</w:t>
            </w:r>
          </w:p>
          <w:p w14:paraId="78EEEBD4" w14:textId="77777777" w:rsidR="00BE498B" w:rsidRPr="00E15A63" w:rsidRDefault="00BE498B" w:rsidP="00AC6375">
            <w:pPr>
              <w:pStyle w:val="Tekstpodstawowywcity"/>
              <w:spacing w:after="0"/>
              <w:ind w:left="0"/>
              <w:jc w:val="center"/>
              <w:rPr>
                <w:b/>
                <w:highlight w:val="yellow"/>
                <w:lang w:val="pl-PL"/>
              </w:rPr>
            </w:pPr>
          </w:p>
        </w:tc>
        <w:tc>
          <w:tcPr>
            <w:tcW w:w="4394" w:type="dxa"/>
            <w:shd w:val="clear" w:color="auto" w:fill="DDDDDD"/>
            <w:vAlign w:val="center"/>
          </w:tcPr>
          <w:p w14:paraId="00DA2978" w14:textId="77777777" w:rsidR="00BE498B" w:rsidRPr="00E15A63" w:rsidRDefault="00BE498B" w:rsidP="00AC6375">
            <w:pPr>
              <w:pStyle w:val="Tekstpodstawowywcity"/>
              <w:spacing w:after="0"/>
              <w:ind w:left="0"/>
              <w:jc w:val="center"/>
              <w:rPr>
                <w:b/>
                <w:highlight w:val="yellow"/>
                <w:lang w:val="pl-PL"/>
              </w:rPr>
            </w:pPr>
            <w:r w:rsidRPr="00E15A63">
              <w:rPr>
                <w:b/>
                <w:lang w:val="pl-PL"/>
              </w:rPr>
              <w:t>Limit wszystkich operacji w ciągu dnia</w:t>
            </w:r>
          </w:p>
        </w:tc>
      </w:tr>
      <w:tr w:rsidR="00BE498B" w:rsidRPr="00892B13" w14:paraId="6AA508F0" w14:textId="77777777" w:rsidTr="00AC6375">
        <w:tc>
          <w:tcPr>
            <w:tcW w:w="1418" w:type="dxa"/>
          </w:tcPr>
          <w:p w14:paraId="52E4290F" w14:textId="77777777" w:rsidR="00BE498B" w:rsidRPr="00E15A63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złoty polski</w:t>
            </w:r>
          </w:p>
        </w:tc>
        <w:tc>
          <w:tcPr>
            <w:tcW w:w="3827" w:type="dxa"/>
            <w:vAlign w:val="center"/>
          </w:tcPr>
          <w:p w14:paraId="1608143F" w14:textId="77777777" w:rsidR="00BE498B" w:rsidRPr="00E15A63" w:rsidRDefault="00BE498B" w:rsidP="00AC6375">
            <w:pPr>
              <w:pStyle w:val="Tekstpodstawowywcity"/>
              <w:spacing w:before="120"/>
              <w:ind w:left="0"/>
              <w:jc w:val="center"/>
              <w:rPr>
                <w:highlight w:val="yellow"/>
                <w:lang w:val="pl-PL"/>
              </w:rPr>
            </w:pPr>
            <w:r w:rsidRPr="00E15A63">
              <w:rPr>
                <w:lang w:val="pl-PL"/>
              </w:rPr>
              <w:t xml:space="preserve">50.000 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EFD68A9" w14:textId="77777777" w:rsidR="00BE498B" w:rsidRPr="00E15A63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 w:rsidRPr="00E15A63">
              <w:rPr>
                <w:lang w:val="pl-PL"/>
              </w:rPr>
              <w:t xml:space="preserve">200.000 </w:t>
            </w:r>
            <w:r>
              <w:rPr>
                <w:lang w:val="pl-PL"/>
              </w:rPr>
              <w:t xml:space="preserve"> </w:t>
            </w:r>
          </w:p>
        </w:tc>
      </w:tr>
      <w:tr w:rsidR="00BE498B" w:rsidRPr="00892B13" w14:paraId="4468EABA" w14:textId="77777777" w:rsidTr="00AC6375">
        <w:tc>
          <w:tcPr>
            <w:tcW w:w="1418" w:type="dxa"/>
          </w:tcPr>
          <w:p w14:paraId="5854CE74" w14:textId="77777777" w:rsidR="00BE498B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funt brytyjski</w:t>
            </w:r>
          </w:p>
        </w:tc>
        <w:tc>
          <w:tcPr>
            <w:tcW w:w="3827" w:type="dxa"/>
            <w:vAlign w:val="center"/>
          </w:tcPr>
          <w:p w14:paraId="48812E3A" w14:textId="77777777" w:rsidR="00BE498B" w:rsidRPr="00E15A63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2.000</w:t>
            </w:r>
          </w:p>
        </w:tc>
        <w:tc>
          <w:tcPr>
            <w:tcW w:w="4394" w:type="dxa"/>
            <w:vAlign w:val="center"/>
          </w:tcPr>
          <w:p w14:paraId="1ED74B1A" w14:textId="487335C3" w:rsidR="00BE498B" w:rsidRPr="00E15A63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20.000</w:t>
            </w:r>
            <w:r w:rsidR="001E7A95">
              <w:rPr>
                <w:lang w:val="pl-PL"/>
              </w:rPr>
              <w:t>*</w:t>
            </w:r>
          </w:p>
        </w:tc>
      </w:tr>
      <w:tr w:rsidR="00BE498B" w:rsidRPr="00892B13" w14:paraId="3BFFB3FD" w14:textId="77777777" w:rsidTr="00AC6375">
        <w:tc>
          <w:tcPr>
            <w:tcW w:w="1418" w:type="dxa"/>
          </w:tcPr>
          <w:p w14:paraId="0801C9F3" w14:textId="77777777" w:rsidR="00BE498B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dolar amerykański</w:t>
            </w:r>
          </w:p>
        </w:tc>
        <w:tc>
          <w:tcPr>
            <w:tcW w:w="3827" w:type="dxa"/>
            <w:vAlign w:val="center"/>
          </w:tcPr>
          <w:p w14:paraId="47AD23BA" w14:textId="77777777" w:rsidR="00BE498B" w:rsidRPr="00E15A63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2.500</w:t>
            </w:r>
          </w:p>
        </w:tc>
        <w:tc>
          <w:tcPr>
            <w:tcW w:w="4394" w:type="dxa"/>
            <w:vAlign w:val="center"/>
          </w:tcPr>
          <w:p w14:paraId="5840761A" w14:textId="06E25FAC" w:rsidR="00BE498B" w:rsidRPr="00E15A63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25.000</w:t>
            </w:r>
            <w:r w:rsidR="001E7A95">
              <w:rPr>
                <w:lang w:val="pl-PL"/>
              </w:rPr>
              <w:t>*</w:t>
            </w:r>
          </w:p>
        </w:tc>
      </w:tr>
      <w:tr w:rsidR="00BE498B" w:rsidRPr="00892B13" w14:paraId="724AFF2C" w14:textId="77777777" w:rsidTr="00AC6375">
        <w:tc>
          <w:tcPr>
            <w:tcW w:w="1418" w:type="dxa"/>
          </w:tcPr>
          <w:p w14:paraId="5BA8C401" w14:textId="5EAB32F8" w:rsidR="00BE498B" w:rsidRDefault="00CC0217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BE498B">
              <w:rPr>
                <w:lang w:val="pl-PL"/>
              </w:rPr>
              <w:t>uro</w:t>
            </w:r>
          </w:p>
        </w:tc>
        <w:tc>
          <w:tcPr>
            <w:tcW w:w="3827" w:type="dxa"/>
            <w:vAlign w:val="center"/>
          </w:tcPr>
          <w:p w14:paraId="7474450F" w14:textId="77777777" w:rsidR="00BE498B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2.000</w:t>
            </w:r>
          </w:p>
        </w:tc>
        <w:tc>
          <w:tcPr>
            <w:tcW w:w="4394" w:type="dxa"/>
            <w:vAlign w:val="center"/>
          </w:tcPr>
          <w:p w14:paraId="2B8A4377" w14:textId="357CF731" w:rsidR="00BE498B" w:rsidRDefault="00BE498B" w:rsidP="00AC6375">
            <w:pPr>
              <w:pStyle w:val="Tekstpodstawowywcity"/>
              <w:spacing w:before="120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20.000</w:t>
            </w:r>
            <w:r w:rsidR="001E7A95">
              <w:rPr>
                <w:lang w:val="pl-PL"/>
              </w:rPr>
              <w:t>*</w:t>
            </w:r>
          </w:p>
        </w:tc>
      </w:tr>
    </w:tbl>
    <w:p w14:paraId="422C3E1C" w14:textId="77777777" w:rsidR="00BE498B" w:rsidRDefault="00BE498B" w:rsidP="00BE498B">
      <w:pPr>
        <w:ind w:firstLine="6804"/>
        <w:jc w:val="both"/>
      </w:pPr>
    </w:p>
    <w:p w14:paraId="4E19DF05" w14:textId="20838348" w:rsidR="000F0D0E" w:rsidRDefault="001E7A95" w:rsidP="000F0D0E">
      <w:pPr>
        <w:pStyle w:val="Tekstpodstawowywcity"/>
        <w:spacing w:after="0"/>
        <w:ind w:left="397"/>
        <w:jc w:val="both"/>
        <w:rPr>
          <w:lang w:val="pl-PL"/>
        </w:rPr>
      </w:pPr>
      <w:r>
        <w:rPr>
          <w:lang w:val="pl-PL"/>
        </w:rPr>
        <w:t>*</w:t>
      </w:r>
      <w:r w:rsidR="000F0D0E">
        <w:rPr>
          <w:lang w:val="pl-PL"/>
        </w:rPr>
        <w:t>z zastrzeżeniem, iż maksymaln</w:t>
      </w:r>
      <w:r w:rsidRPr="00941A67">
        <w:rPr>
          <w:lang w:val="pl-PL"/>
        </w:rPr>
        <w:t>a</w:t>
      </w:r>
      <w:r w:rsidR="000F0D0E" w:rsidRPr="00941A67">
        <w:rPr>
          <w:lang w:val="pl-PL"/>
        </w:rPr>
        <w:t xml:space="preserve"> </w:t>
      </w:r>
      <w:r w:rsidRPr="00941A67">
        <w:rPr>
          <w:lang w:val="pl-PL"/>
        </w:rPr>
        <w:t xml:space="preserve">kwota transakcji, w godzinach pracy banku </w:t>
      </w:r>
      <w:r>
        <w:rPr>
          <w:lang w:val="pl-PL"/>
        </w:rPr>
        <w:t xml:space="preserve">stanowi </w:t>
      </w:r>
      <w:r w:rsidRPr="00941A67">
        <w:rPr>
          <w:lang w:val="pl-PL"/>
        </w:rPr>
        <w:t xml:space="preserve">równowartość </w:t>
      </w:r>
      <w:r w:rsidR="000F0D0E">
        <w:rPr>
          <w:lang w:val="pl-PL"/>
        </w:rPr>
        <w:t>100.000 zł</w:t>
      </w:r>
    </w:p>
    <w:p w14:paraId="36578D37" w14:textId="7143B8EA" w:rsidR="00BE498B" w:rsidRDefault="00BE498B" w:rsidP="00BE498B">
      <w:pPr>
        <w:pStyle w:val="Tekstpodstawowywcity"/>
        <w:numPr>
          <w:ilvl w:val="0"/>
          <w:numId w:val="25"/>
        </w:numPr>
        <w:spacing w:after="0"/>
        <w:jc w:val="both"/>
        <w:rPr>
          <w:lang w:val="pl-PL"/>
        </w:rPr>
      </w:pPr>
      <w:r>
        <w:rPr>
          <w:lang w:val="pl-PL"/>
        </w:rPr>
        <w:t>W przypadku wprowadzenia możliwości wymiany innej waluty</w:t>
      </w:r>
      <w:r w:rsidR="00E43C39">
        <w:rPr>
          <w:lang w:val="pl-PL"/>
        </w:rPr>
        <w:t>,</w:t>
      </w:r>
      <w:r>
        <w:rPr>
          <w:lang w:val="pl-PL"/>
        </w:rPr>
        <w:t xml:space="preserve"> niż wskazana w ust. 1 standardowy limit pojedynczej operacji oraz limit wszystkich operacji </w:t>
      </w:r>
      <w:r w:rsidR="003D0717">
        <w:rPr>
          <w:lang w:val="pl-PL"/>
        </w:rPr>
        <w:t xml:space="preserve">w ciągu </w:t>
      </w:r>
      <w:r>
        <w:rPr>
          <w:lang w:val="pl-PL"/>
        </w:rPr>
        <w:t xml:space="preserve">dnia wyznacza się jako iloraz odpowiedniego limitu w złotych </w:t>
      </w:r>
      <w:r w:rsidR="003D0717">
        <w:rPr>
          <w:lang w:val="pl-PL"/>
        </w:rPr>
        <w:t xml:space="preserve">i </w:t>
      </w:r>
      <w:r>
        <w:rPr>
          <w:lang w:val="pl-PL"/>
        </w:rPr>
        <w:t>kurs</w:t>
      </w:r>
      <w:r w:rsidR="003D0717">
        <w:rPr>
          <w:lang w:val="pl-PL"/>
        </w:rPr>
        <w:t>u</w:t>
      </w:r>
      <w:r>
        <w:rPr>
          <w:lang w:val="pl-PL"/>
        </w:rPr>
        <w:t xml:space="preserve"> średni</w:t>
      </w:r>
      <w:r w:rsidR="003D0717">
        <w:rPr>
          <w:lang w:val="pl-PL"/>
        </w:rPr>
        <w:t>ego</w:t>
      </w:r>
      <w:r>
        <w:rPr>
          <w:lang w:val="pl-PL"/>
        </w:rPr>
        <w:t xml:space="preserve"> nowej waluty. </w:t>
      </w:r>
    </w:p>
    <w:p w14:paraId="438280D6" w14:textId="3BF24A8D" w:rsidR="00F56CB5" w:rsidRPr="00B3138D" w:rsidRDefault="00F56CB5" w:rsidP="00F56CB5">
      <w:pPr>
        <w:pStyle w:val="Tekstpodstawowywcity"/>
        <w:numPr>
          <w:ilvl w:val="0"/>
          <w:numId w:val="25"/>
        </w:numPr>
        <w:spacing w:after="0"/>
        <w:jc w:val="both"/>
        <w:rPr>
          <w:lang w:val="pl-PL"/>
        </w:rPr>
      </w:pPr>
      <w:r w:rsidRPr="00B3138D">
        <w:rPr>
          <w:lang w:val="pl-PL"/>
        </w:rPr>
        <w:t>Posiadacz rachunku może wnioskować o indywidualne ustalenie limitów, o których mowa w ust. 1</w:t>
      </w:r>
      <w:r w:rsidR="003F143C" w:rsidRPr="00B3138D">
        <w:rPr>
          <w:lang w:val="pl-PL"/>
        </w:rPr>
        <w:t>, z zastrzeżeniem ust. 4</w:t>
      </w:r>
      <w:r w:rsidRPr="00B3138D">
        <w:rPr>
          <w:lang w:val="pl-PL"/>
        </w:rPr>
        <w:t>.</w:t>
      </w:r>
    </w:p>
    <w:p w14:paraId="25CC7134" w14:textId="27A5E13B" w:rsidR="000E53B3" w:rsidRPr="00937B3D" w:rsidRDefault="00F56CB5" w:rsidP="008E1305">
      <w:pPr>
        <w:pStyle w:val="Tekstpodstawowywcity"/>
        <w:numPr>
          <w:ilvl w:val="0"/>
          <w:numId w:val="25"/>
        </w:numPr>
        <w:spacing w:after="0"/>
        <w:ind w:left="0"/>
        <w:jc w:val="both"/>
        <w:rPr>
          <w:lang w:val="pl-PL"/>
        </w:rPr>
      </w:pPr>
      <w:r w:rsidRPr="00937B3D">
        <w:rPr>
          <w:lang w:val="pl-PL"/>
        </w:rPr>
        <w:t xml:space="preserve">O wysokości limitów ostatecznie decyduje </w:t>
      </w:r>
      <w:r w:rsidR="00532A51" w:rsidRPr="00937B3D">
        <w:rPr>
          <w:lang w:val="pl-PL"/>
        </w:rPr>
        <w:t>b</w:t>
      </w:r>
      <w:r w:rsidRPr="00937B3D">
        <w:rPr>
          <w:lang w:val="pl-PL"/>
        </w:rPr>
        <w:t>ank.</w:t>
      </w:r>
    </w:p>
    <w:sectPr w:rsidR="000E53B3" w:rsidRPr="00937B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BAC50" w14:textId="77777777" w:rsidR="00BF4FC8" w:rsidRDefault="00BF4FC8" w:rsidP="003A7A06">
      <w:r>
        <w:separator/>
      </w:r>
    </w:p>
  </w:endnote>
  <w:endnote w:type="continuationSeparator" w:id="0">
    <w:p w14:paraId="765CA655" w14:textId="77777777" w:rsidR="00BF4FC8" w:rsidRDefault="00BF4FC8" w:rsidP="003A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Arial"/>
    <w:charset w:val="EE"/>
    <w:family w:val="swiss"/>
    <w:pitch w:val="variable"/>
    <w:sig w:usb0="00000007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1267" w14:textId="77777777" w:rsidR="003A7A06" w:rsidRDefault="003A7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907125"/>
      <w:docPartObj>
        <w:docPartGallery w:val="Page Numbers (Bottom of Page)"/>
        <w:docPartUnique/>
      </w:docPartObj>
    </w:sdtPr>
    <w:sdtContent>
      <w:p w14:paraId="696B1F97" w14:textId="41969FB1" w:rsidR="003A7A06" w:rsidRDefault="003A7A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D0E">
          <w:rPr>
            <w:noProof/>
          </w:rPr>
          <w:t>5</w:t>
        </w:r>
        <w:r>
          <w:fldChar w:fldCharType="end"/>
        </w:r>
      </w:p>
    </w:sdtContent>
  </w:sdt>
  <w:p w14:paraId="3823B7CF" w14:textId="77777777" w:rsidR="003A7A06" w:rsidRDefault="003A7A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1ED5" w14:textId="77777777" w:rsidR="003A7A06" w:rsidRDefault="003A7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FCDD5" w14:textId="77777777" w:rsidR="00BF4FC8" w:rsidRDefault="00BF4FC8" w:rsidP="003A7A06">
      <w:r>
        <w:separator/>
      </w:r>
    </w:p>
  </w:footnote>
  <w:footnote w:type="continuationSeparator" w:id="0">
    <w:p w14:paraId="35148707" w14:textId="77777777" w:rsidR="00BF4FC8" w:rsidRDefault="00BF4FC8" w:rsidP="003A7A06">
      <w:r>
        <w:continuationSeparator/>
      </w:r>
    </w:p>
  </w:footnote>
  <w:footnote w:id="1">
    <w:p w14:paraId="0699A91E" w14:textId="77777777" w:rsidR="00CC0217" w:rsidRDefault="00CC0217" w:rsidP="00CC0217">
      <w:pPr>
        <w:pStyle w:val="Tekstprzypisudolnego"/>
      </w:pPr>
      <w:r>
        <w:rPr>
          <w:rStyle w:val="Odwoanieprzypisudolnego"/>
        </w:rPr>
        <w:footnoteRef/>
      </w:r>
      <w:r>
        <w:t xml:space="preserve"> Usługa dostępna w bankowości mobilnej po jej wdrożeniu przez Bank.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8A511" w14:textId="77777777" w:rsidR="003A7A06" w:rsidRDefault="003A7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2C68" w14:textId="77777777" w:rsidR="003A7A06" w:rsidRDefault="003A7A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3214E" w14:textId="77777777" w:rsidR="003A7A06" w:rsidRDefault="003A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1A9"/>
    <w:multiLevelType w:val="hybridMultilevel"/>
    <w:tmpl w:val="680E7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936"/>
    <w:multiLevelType w:val="hybridMultilevel"/>
    <w:tmpl w:val="49FA4EFA"/>
    <w:lvl w:ilvl="0" w:tplc="E5127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44F27"/>
    <w:multiLevelType w:val="hybridMultilevel"/>
    <w:tmpl w:val="922AB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7171"/>
    <w:multiLevelType w:val="hybridMultilevel"/>
    <w:tmpl w:val="A1AE087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FDA45E5"/>
    <w:multiLevelType w:val="hybridMultilevel"/>
    <w:tmpl w:val="43C66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137C"/>
    <w:multiLevelType w:val="hybridMultilevel"/>
    <w:tmpl w:val="76D67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D71FD"/>
    <w:multiLevelType w:val="hybridMultilevel"/>
    <w:tmpl w:val="C9D0AE58"/>
    <w:lvl w:ilvl="0" w:tplc="4988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31E59"/>
    <w:multiLevelType w:val="hybridMultilevel"/>
    <w:tmpl w:val="0332CE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DA1317"/>
    <w:multiLevelType w:val="hybridMultilevel"/>
    <w:tmpl w:val="1552450E"/>
    <w:lvl w:ilvl="0" w:tplc="E2849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C36"/>
    <w:multiLevelType w:val="hybridMultilevel"/>
    <w:tmpl w:val="92C4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13B2D"/>
    <w:multiLevelType w:val="hybridMultilevel"/>
    <w:tmpl w:val="FB4E7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171AA"/>
    <w:multiLevelType w:val="multilevel"/>
    <w:tmpl w:val="2A0C763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C9A24FF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6E74D89"/>
    <w:multiLevelType w:val="hybridMultilevel"/>
    <w:tmpl w:val="67A23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F58C7"/>
    <w:multiLevelType w:val="hybridMultilevel"/>
    <w:tmpl w:val="507AD1E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C6F2A6EA">
      <w:start w:val="1"/>
      <w:numFmt w:val="lowerLetter"/>
      <w:lvlText w:val="%3)"/>
      <w:lvlJc w:val="right"/>
      <w:pPr>
        <w:ind w:left="173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0F17BB7"/>
    <w:multiLevelType w:val="hybridMultilevel"/>
    <w:tmpl w:val="41FCF5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33E459B"/>
    <w:multiLevelType w:val="hybridMultilevel"/>
    <w:tmpl w:val="131C6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879D5"/>
    <w:multiLevelType w:val="hybridMultilevel"/>
    <w:tmpl w:val="08E6C628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534B4"/>
    <w:multiLevelType w:val="hybridMultilevel"/>
    <w:tmpl w:val="2B84ABFE"/>
    <w:lvl w:ilvl="0" w:tplc="BDF623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9B1135E"/>
    <w:multiLevelType w:val="hybridMultilevel"/>
    <w:tmpl w:val="C900B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E16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E6C29"/>
    <w:multiLevelType w:val="hybridMultilevel"/>
    <w:tmpl w:val="5AEC92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2144A52A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490381C"/>
    <w:multiLevelType w:val="multilevel"/>
    <w:tmpl w:val="43EE5CF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77A7B04"/>
    <w:multiLevelType w:val="hybridMultilevel"/>
    <w:tmpl w:val="03DEB992"/>
    <w:lvl w:ilvl="0" w:tplc="94867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151FAF"/>
    <w:multiLevelType w:val="hybridMultilevel"/>
    <w:tmpl w:val="7582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C5EB8"/>
    <w:multiLevelType w:val="hybridMultilevel"/>
    <w:tmpl w:val="DD2A1008"/>
    <w:lvl w:ilvl="0" w:tplc="52608A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8DB3E1E"/>
    <w:multiLevelType w:val="hybridMultilevel"/>
    <w:tmpl w:val="4C92EA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144A52A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44088468">
    <w:abstractNumId w:val="23"/>
  </w:num>
  <w:num w:numId="2" w16cid:durableId="404255887">
    <w:abstractNumId w:val="0"/>
  </w:num>
  <w:num w:numId="3" w16cid:durableId="748424321">
    <w:abstractNumId w:val="1"/>
  </w:num>
  <w:num w:numId="4" w16cid:durableId="1823545723">
    <w:abstractNumId w:val="4"/>
  </w:num>
  <w:num w:numId="5" w16cid:durableId="752702482">
    <w:abstractNumId w:val="16"/>
  </w:num>
  <w:num w:numId="6" w16cid:durableId="1725717651">
    <w:abstractNumId w:val="19"/>
  </w:num>
  <w:num w:numId="7" w16cid:durableId="354117218">
    <w:abstractNumId w:val="15"/>
  </w:num>
  <w:num w:numId="8" w16cid:durableId="459418330">
    <w:abstractNumId w:val="18"/>
  </w:num>
  <w:num w:numId="9" w16cid:durableId="1995329041">
    <w:abstractNumId w:val="3"/>
  </w:num>
  <w:num w:numId="10" w16cid:durableId="1908296668">
    <w:abstractNumId w:val="14"/>
  </w:num>
  <w:num w:numId="11" w16cid:durableId="506753998">
    <w:abstractNumId w:val="8"/>
  </w:num>
  <w:num w:numId="12" w16cid:durableId="1986202160">
    <w:abstractNumId w:val="7"/>
  </w:num>
  <w:num w:numId="13" w16cid:durableId="266697888">
    <w:abstractNumId w:val="25"/>
  </w:num>
  <w:num w:numId="14" w16cid:durableId="2020546738">
    <w:abstractNumId w:val="6"/>
  </w:num>
  <w:num w:numId="15" w16cid:durableId="2076009614">
    <w:abstractNumId w:val="2"/>
  </w:num>
  <w:num w:numId="16" w16cid:durableId="1799957740">
    <w:abstractNumId w:val="5"/>
  </w:num>
  <w:num w:numId="17" w16cid:durableId="953906179">
    <w:abstractNumId w:val="20"/>
  </w:num>
  <w:num w:numId="18" w16cid:durableId="578825784">
    <w:abstractNumId w:val="13"/>
  </w:num>
  <w:num w:numId="19" w16cid:durableId="417680924">
    <w:abstractNumId w:val="12"/>
  </w:num>
  <w:num w:numId="20" w16cid:durableId="88281914">
    <w:abstractNumId w:val="11"/>
  </w:num>
  <w:num w:numId="21" w16cid:durableId="1685671293">
    <w:abstractNumId w:val="17"/>
  </w:num>
  <w:num w:numId="22" w16cid:durableId="1433741556">
    <w:abstractNumId w:val="10"/>
  </w:num>
  <w:num w:numId="23" w16cid:durableId="839394799">
    <w:abstractNumId w:val="24"/>
  </w:num>
  <w:num w:numId="24" w16cid:durableId="1644309614">
    <w:abstractNumId w:val="9"/>
  </w:num>
  <w:num w:numId="25" w16cid:durableId="1198007451">
    <w:abstractNumId w:val="21"/>
  </w:num>
  <w:num w:numId="26" w16cid:durableId="903252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BF"/>
    <w:rsid w:val="000012CD"/>
    <w:rsid w:val="00005E51"/>
    <w:rsid w:val="00024AF9"/>
    <w:rsid w:val="0003251E"/>
    <w:rsid w:val="0003644E"/>
    <w:rsid w:val="00057B0D"/>
    <w:rsid w:val="00074E0C"/>
    <w:rsid w:val="0008539B"/>
    <w:rsid w:val="00091E4C"/>
    <w:rsid w:val="00097D32"/>
    <w:rsid w:val="000B055F"/>
    <w:rsid w:val="000C5777"/>
    <w:rsid w:val="000D486C"/>
    <w:rsid w:val="000E107F"/>
    <w:rsid w:val="000E53B3"/>
    <w:rsid w:val="000F0D0E"/>
    <w:rsid w:val="000F6CB3"/>
    <w:rsid w:val="000F6DA3"/>
    <w:rsid w:val="001001E6"/>
    <w:rsid w:val="00101E26"/>
    <w:rsid w:val="001256FE"/>
    <w:rsid w:val="00125F9A"/>
    <w:rsid w:val="00130236"/>
    <w:rsid w:val="00134E61"/>
    <w:rsid w:val="00135C01"/>
    <w:rsid w:val="001440A8"/>
    <w:rsid w:val="00150E87"/>
    <w:rsid w:val="001514CB"/>
    <w:rsid w:val="00161D46"/>
    <w:rsid w:val="00162ECC"/>
    <w:rsid w:val="001775EE"/>
    <w:rsid w:val="00197791"/>
    <w:rsid w:val="001A4A51"/>
    <w:rsid w:val="001E7A95"/>
    <w:rsid w:val="001F7A9F"/>
    <w:rsid w:val="002040E1"/>
    <w:rsid w:val="002527ED"/>
    <w:rsid w:val="00264EF9"/>
    <w:rsid w:val="00266100"/>
    <w:rsid w:val="002B113C"/>
    <w:rsid w:val="002B47F3"/>
    <w:rsid w:val="002D0C65"/>
    <w:rsid w:val="002D39C2"/>
    <w:rsid w:val="002E5BBC"/>
    <w:rsid w:val="002F0565"/>
    <w:rsid w:val="002F6AB5"/>
    <w:rsid w:val="00307C4D"/>
    <w:rsid w:val="003137FC"/>
    <w:rsid w:val="00327269"/>
    <w:rsid w:val="00332DE7"/>
    <w:rsid w:val="0034014B"/>
    <w:rsid w:val="003401CA"/>
    <w:rsid w:val="003402B5"/>
    <w:rsid w:val="00344B1A"/>
    <w:rsid w:val="003523F2"/>
    <w:rsid w:val="003745A1"/>
    <w:rsid w:val="00377538"/>
    <w:rsid w:val="003818F9"/>
    <w:rsid w:val="00384569"/>
    <w:rsid w:val="00386927"/>
    <w:rsid w:val="003A7A06"/>
    <w:rsid w:val="003D0717"/>
    <w:rsid w:val="003D5255"/>
    <w:rsid w:val="003F143C"/>
    <w:rsid w:val="003F58C8"/>
    <w:rsid w:val="0043434D"/>
    <w:rsid w:val="00442CBD"/>
    <w:rsid w:val="00454639"/>
    <w:rsid w:val="0047492A"/>
    <w:rsid w:val="0047576F"/>
    <w:rsid w:val="0048620B"/>
    <w:rsid w:val="00490C37"/>
    <w:rsid w:val="00492BF2"/>
    <w:rsid w:val="004946D0"/>
    <w:rsid w:val="004A4E41"/>
    <w:rsid w:val="004B2497"/>
    <w:rsid w:val="004B4E76"/>
    <w:rsid w:val="004E1AE2"/>
    <w:rsid w:val="004F1013"/>
    <w:rsid w:val="0050106F"/>
    <w:rsid w:val="0050626B"/>
    <w:rsid w:val="0052197C"/>
    <w:rsid w:val="00532875"/>
    <w:rsid w:val="00532A51"/>
    <w:rsid w:val="005616C4"/>
    <w:rsid w:val="00572412"/>
    <w:rsid w:val="00592FF1"/>
    <w:rsid w:val="005A3C5F"/>
    <w:rsid w:val="005C7410"/>
    <w:rsid w:val="005C7F06"/>
    <w:rsid w:val="005D061B"/>
    <w:rsid w:val="005D1433"/>
    <w:rsid w:val="00602F8A"/>
    <w:rsid w:val="00616422"/>
    <w:rsid w:val="006259C5"/>
    <w:rsid w:val="00636B93"/>
    <w:rsid w:val="0064153C"/>
    <w:rsid w:val="00654BAE"/>
    <w:rsid w:val="00664D22"/>
    <w:rsid w:val="006704CA"/>
    <w:rsid w:val="00677B1F"/>
    <w:rsid w:val="00677E74"/>
    <w:rsid w:val="00694A00"/>
    <w:rsid w:val="006A1ECA"/>
    <w:rsid w:val="006A3BBE"/>
    <w:rsid w:val="006A3E06"/>
    <w:rsid w:val="006A422C"/>
    <w:rsid w:val="006D141D"/>
    <w:rsid w:val="006E5604"/>
    <w:rsid w:val="006F7E46"/>
    <w:rsid w:val="00705FB0"/>
    <w:rsid w:val="00721582"/>
    <w:rsid w:val="0075532C"/>
    <w:rsid w:val="00755944"/>
    <w:rsid w:val="00761CBF"/>
    <w:rsid w:val="00764605"/>
    <w:rsid w:val="007D0E3A"/>
    <w:rsid w:val="007F5293"/>
    <w:rsid w:val="00807D90"/>
    <w:rsid w:val="0081762F"/>
    <w:rsid w:val="008368B2"/>
    <w:rsid w:val="008376D0"/>
    <w:rsid w:val="00853A10"/>
    <w:rsid w:val="00866488"/>
    <w:rsid w:val="00866B3C"/>
    <w:rsid w:val="00867151"/>
    <w:rsid w:val="00873B50"/>
    <w:rsid w:val="00873D83"/>
    <w:rsid w:val="008935D5"/>
    <w:rsid w:val="008948E5"/>
    <w:rsid w:val="00896AC1"/>
    <w:rsid w:val="008A072A"/>
    <w:rsid w:val="008B3507"/>
    <w:rsid w:val="008B52A2"/>
    <w:rsid w:val="008B63EC"/>
    <w:rsid w:val="008B7715"/>
    <w:rsid w:val="008C6868"/>
    <w:rsid w:val="008D7241"/>
    <w:rsid w:val="008D7FAA"/>
    <w:rsid w:val="008E1305"/>
    <w:rsid w:val="00905EEB"/>
    <w:rsid w:val="00914403"/>
    <w:rsid w:val="00923C06"/>
    <w:rsid w:val="00926D13"/>
    <w:rsid w:val="00937B3D"/>
    <w:rsid w:val="00941A67"/>
    <w:rsid w:val="00945281"/>
    <w:rsid w:val="0095304B"/>
    <w:rsid w:val="009538E5"/>
    <w:rsid w:val="00961524"/>
    <w:rsid w:val="00964057"/>
    <w:rsid w:val="00967F1F"/>
    <w:rsid w:val="00974A0A"/>
    <w:rsid w:val="0098768A"/>
    <w:rsid w:val="00994034"/>
    <w:rsid w:val="009A06BE"/>
    <w:rsid w:val="009A25F3"/>
    <w:rsid w:val="009A3073"/>
    <w:rsid w:val="009A4853"/>
    <w:rsid w:val="009C582B"/>
    <w:rsid w:val="00A12BD5"/>
    <w:rsid w:val="00A30AF1"/>
    <w:rsid w:val="00A37488"/>
    <w:rsid w:val="00A4489E"/>
    <w:rsid w:val="00A47F19"/>
    <w:rsid w:val="00A51859"/>
    <w:rsid w:val="00A51B94"/>
    <w:rsid w:val="00A63DB3"/>
    <w:rsid w:val="00A6494E"/>
    <w:rsid w:val="00AA716B"/>
    <w:rsid w:val="00AB1F6A"/>
    <w:rsid w:val="00AC5CE9"/>
    <w:rsid w:val="00AD2172"/>
    <w:rsid w:val="00AF2271"/>
    <w:rsid w:val="00AF23EA"/>
    <w:rsid w:val="00B14C8A"/>
    <w:rsid w:val="00B306D6"/>
    <w:rsid w:val="00B3138D"/>
    <w:rsid w:val="00B36D54"/>
    <w:rsid w:val="00B55861"/>
    <w:rsid w:val="00B601E9"/>
    <w:rsid w:val="00B7486E"/>
    <w:rsid w:val="00B818F1"/>
    <w:rsid w:val="00B83FAC"/>
    <w:rsid w:val="00BA75A5"/>
    <w:rsid w:val="00BC6028"/>
    <w:rsid w:val="00BD02D9"/>
    <w:rsid w:val="00BE498B"/>
    <w:rsid w:val="00BE6750"/>
    <w:rsid w:val="00BF2257"/>
    <w:rsid w:val="00BF4FC8"/>
    <w:rsid w:val="00C279C2"/>
    <w:rsid w:val="00C366DF"/>
    <w:rsid w:val="00C43C11"/>
    <w:rsid w:val="00C465CD"/>
    <w:rsid w:val="00C47394"/>
    <w:rsid w:val="00C7785B"/>
    <w:rsid w:val="00C84E9B"/>
    <w:rsid w:val="00C87495"/>
    <w:rsid w:val="00C94410"/>
    <w:rsid w:val="00CA0196"/>
    <w:rsid w:val="00CC0217"/>
    <w:rsid w:val="00CC5E53"/>
    <w:rsid w:val="00CF1446"/>
    <w:rsid w:val="00CF2672"/>
    <w:rsid w:val="00D01473"/>
    <w:rsid w:val="00D07FD3"/>
    <w:rsid w:val="00D2016C"/>
    <w:rsid w:val="00D2157E"/>
    <w:rsid w:val="00D54099"/>
    <w:rsid w:val="00D60097"/>
    <w:rsid w:val="00DA7D5F"/>
    <w:rsid w:val="00DC630E"/>
    <w:rsid w:val="00DD078B"/>
    <w:rsid w:val="00DD7FE1"/>
    <w:rsid w:val="00DE301E"/>
    <w:rsid w:val="00E4076F"/>
    <w:rsid w:val="00E43C39"/>
    <w:rsid w:val="00E96CFF"/>
    <w:rsid w:val="00EA193B"/>
    <w:rsid w:val="00EB2D27"/>
    <w:rsid w:val="00ED511F"/>
    <w:rsid w:val="00EF121D"/>
    <w:rsid w:val="00EF28FC"/>
    <w:rsid w:val="00F023A7"/>
    <w:rsid w:val="00F121FA"/>
    <w:rsid w:val="00F1663A"/>
    <w:rsid w:val="00F26971"/>
    <w:rsid w:val="00F26F97"/>
    <w:rsid w:val="00F30BAD"/>
    <w:rsid w:val="00F31238"/>
    <w:rsid w:val="00F35E15"/>
    <w:rsid w:val="00F3743F"/>
    <w:rsid w:val="00F54DE6"/>
    <w:rsid w:val="00F56CB5"/>
    <w:rsid w:val="00F607FF"/>
    <w:rsid w:val="00F61752"/>
    <w:rsid w:val="00F73411"/>
    <w:rsid w:val="00F80BF6"/>
    <w:rsid w:val="00FA456E"/>
    <w:rsid w:val="00FA4713"/>
    <w:rsid w:val="00FA6805"/>
    <w:rsid w:val="00FA6C9B"/>
    <w:rsid w:val="00FD3D75"/>
    <w:rsid w:val="00FD4D30"/>
    <w:rsid w:val="00FD4DA4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28BF"/>
  <w15:chartTrackingRefBased/>
  <w15:docId w15:val="{58BC57AC-7F58-47B9-AB26-856F4D81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CBF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D7FAA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7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D3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06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F73411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unhideWhenUsed/>
    <w:rsid w:val="00BE6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67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7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7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7A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A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A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A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49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49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2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2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273CC885FE54E9D8AA2C91031C1D8" ma:contentTypeVersion="8" ma:contentTypeDescription="Utwórz nowy dokument." ma:contentTypeScope="" ma:versionID="35d0adddb194fbbb737b4c16a726af08">
  <xsd:schema xmlns:xsd="http://www.w3.org/2001/XMLSchema" xmlns:xs="http://www.w3.org/2001/XMLSchema" xmlns:p="http://schemas.microsoft.com/office/2006/metadata/properties" xmlns:ns3="27789df8-c874-429f-9481-e5ac351561e8" targetNamespace="http://schemas.microsoft.com/office/2006/metadata/properties" ma:root="true" ma:fieldsID="5af88a2c8e22e40e300979e64c9996d4" ns3:_="">
    <xsd:import namespace="27789df8-c874-429f-9481-e5ac35156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9df8-c874-429f-9481-e5ac3515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410F-7AF1-4464-8CB7-4CDA3DB37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5E28B-8811-454D-98FE-D14C8AEA3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9df8-c874-429f-9481-e5ac35156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FC905-DD21-4972-BBEB-5C3783035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260D-2970-4150-A8B7-3B3E5677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Sobera</dc:creator>
  <cp:keywords/>
  <dc:description/>
  <cp:lastModifiedBy>dorota.jakubowska@bbs-bank.pl</cp:lastModifiedBy>
  <cp:revision>18</cp:revision>
  <cp:lastPrinted>2019-07-08T09:03:00Z</cp:lastPrinted>
  <dcterms:created xsi:type="dcterms:W3CDTF">2020-10-28T07:36:00Z</dcterms:created>
  <dcterms:modified xsi:type="dcterms:W3CDTF">2024-03-29T07:58:00Z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0x010100EDE273CC885FE54E9D8AA2C91031C1D8</vt:lpwstr>
  </property>
</Properties>
</file>